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8EC" w:rsidRDefault="002C2BE7" w:rsidP="008B228C">
      <w:pPr>
        <w:pStyle w:val="Title1"/>
        <w:rPr>
          <w:sz w:val="28"/>
        </w:rPr>
      </w:pPr>
      <w:r>
        <w:rPr>
          <w:sz w:val="28"/>
        </w:rPr>
        <w:t>A</w:t>
      </w:r>
      <w:r w:rsidR="008B228C">
        <w:rPr>
          <w:sz w:val="28"/>
        </w:rPr>
        <w:t xml:space="preserve"> Case Study of 5 Graders’ Inquiry in Ecology Diorama: </w:t>
      </w:r>
    </w:p>
    <w:p w:rsidR="008B228C" w:rsidRPr="008B228C" w:rsidRDefault="008B228C" w:rsidP="008B228C">
      <w:pPr>
        <w:pStyle w:val="Title1"/>
        <w:rPr>
          <w:rFonts w:hint="eastAsia"/>
          <w:sz w:val="28"/>
        </w:rPr>
      </w:pPr>
      <w:r>
        <w:rPr>
          <w:sz w:val="28"/>
        </w:rPr>
        <w:t>Setting Natural Energy Facility or Not?</w:t>
      </w:r>
    </w:p>
    <w:p w:rsidR="002C2BE7" w:rsidRDefault="002C2BE7">
      <w:pPr>
        <w:pStyle w:val="MainText0"/>
      </w:pPr>
    </w:p>
    <w:p w:rsidR="002C2BE7" w:rsidRDefault="004D32E9" w:rsidP="007F16C2">
      <w:pPr>
        <w:pStyle w:val="MainText0"/>
        <w:jc w:val="center"/>
        <w:rPr>
          <w:rFonts w:eastAsia="新細明體"/>
          <w:vertAlign w:val="superscript"/>
        </w:rPr>
      </w:pPr>
      <w:r>
        <w:t>Jung Hua</w:t>
      </w:r>
      <w:r w:rsidR="00F23C79">
        <w:t xml:space="preserve"> Yeh</w:t>
      </w:r>
    </w:p>
    <w:p w:rsidR="002C2BE7" w:rsidRDefault="00ED6E62">
      <w:pPr>
        <w:pStyle w:val="AuthorAffiliation"/>
        <w:rPr>
          <w:rFonts w:eastAsia="新細明體"/>
          <w:vertAlign w:val="superscript"/>
        </w:rPr>
      </w:pPr>
      <w:r>
        <w:rPr>
          <w:rFonts w:eastAsia="新細明體"/>
          <w:vertAlign w:val="superscript"/>
        </w:rPr>
        <w:t xml:space="preserve"> </w:t>
      </w:r>
      <w:r w:rsidR="00F23C79">
        <w:t>National Museum of Natural Science</w:t>
      </w:r>
    </w:p>
    <w:p w:rsidR="002C2BE7" w:rsidRDefault="00F23C79">
      <w:pPr>
        <w:pStyle w:val="AuthorEmail"/>
        <w:rPr>
          <w:b/>
          <w:bCs/>
          <w:color w:val="FF0000"/>
        </w:rPr>
      </w:pPr>
      <w:r>
        <w:t>jung</w:t>
      </w:r>
      <w:r w:rsidR="002C2BE7">
        <w:t>@</w:t>
      </w:r>
      <w:r>
        <w:t>mail.nmns.edu.tw</w:t>
      </w:r>
    </w:p>
    <w:p w:rsidR="002C2BE7" w:rsidRDefault="002C2BE7">
      <w:pPr>
        <w:pStyle w:val="MainText0"/>
        <w:rPr>
          <w:rFonts w:eastAsia="新細明體"/>
        </w:rPr>
      </w:pPr>
    </w:p>
    <w:p w:rsidR="007F16C2" w:rsidRPr="006D0E3E" w:rsidRDefault="007F16C2" w:rsidP="007F16C2">
      <w:pPr>
        <w:pStyle w:val="HeadingFirstLevel"/>
        <w:jc w:val="center"/>
      </w:pPr>
      <w:r w:rsidRPr="006D0E3E">
        <w:t>Abstract</w:t>
      </w:r>
    </w:p>
    <w:p w:rsidR="002C2BE7" w:rsidRPr="006D0E3E" w:rsidRDefault="00A455C9" w:rsidP="007F16C2">
      <w:pPr>
        <w:pStyle w:val="AbstractText0"/>
        <w:ind w:firstLine="480"/>
        <w:rPr>
          <w:rStyle w:val="Keywords0"/>
          <w:rFonts w:eastAsia="新細明體"/>
          <w:i w:val="0"/>
          <w:sz w:val="24"/>
          <w:szCs w:val="24"/>
        </w:rPr>
      </w:pPr>
      <w:r w:rsidRPr="00A455C9">
        <w:rPr>
          <w:i w:val="0"/>
          <w:sz w:val="24"/>
          <w:szCs w:val="24"/>
          <w:lang w:val="en-GB"/>
        </w:rPr>
        <w:t xml:space="preserve">This study describes science education programme conducted in National Museum of Natural Science, Taiwan, while the museum integrated science education theory into its education practice. The ecological dioramas were interpreted as the representation of biodiversity and ecological uniqueness. Most school teachers confirmed these ecological dioramas were fantastic recourses for education, but hard for teachers to fit in their science teaching schemes. </w:t>
      </w:r>
      <w:r w:rsidR="00AB39AE" w:rsidRPr="00A455C9">
        <w:rPr>
          <w:i w:val="0"/>
          <w:sz w:val="24"/>
          <w:szCs w:val="24"/>
          <w:lang w:val="en-GB"/>
        </w:rPr>
        <w:t>The pro</w:t>
      </w:r>
      <w:r w:rsidR="00AB39AE">
        <w:rPr>
          <w:i w:val="0"/>
          <w:sz w:val="24"/>
          <w:szCs w:val="24"/>
          <w:lang w:val="en-GB"/>
        </w:rPr>
        <w:t>gram</w:t>
      </w:r>
      <w:r w:rsidR="00AB39AE" w:rsidRPr="00A455C9">
        <w:rPr>
          <w:i w:val="0"/>
          <w:sz w:val="24"/>
          <w:szCs w:val="24"/>
          <w:lang w:val="en-GB"/>
        </w:rPr>
        <w:t xml:space="preserve"> expected that all participants could aware of the controversy between development </w:t>
      </w:r>
      <w:r w:rsidR="00AB39AE">
        <w:rPr>
          <w:i w:val="0"/>
          <w:sz w:val="24"/>
          <w:szCs w:val="24"/>
          <w:lang w:val="en-GB"/>
        </w:rPr>
        <w:t>green</w:t>
      </w:r>
      <w:r w:rsidR="00AB39AE" w:rsidRPr="00A455C9">
        <w:rPr>
          <w:i w:val="0"/>
          <w:sz w:val="24"/>
          <w:szCs w:val="24"/>
          <w:lang w:val="en-GB"/>
        </w:rPr>
        <w:t xml:space="preserve"> energy and sustainable environment, perceive the vision from different value and inference, and make decision by way of social certification.</w:t>
      </w:r>
      <w:r w:rsidR="00AB39AE">
        <w:rPr>
          <w:i w:val="0"/>
          <w:sz w:val="24"/>
          <w:szCs w:val="24"/>
          <w:lang w:val="en-GB"/>
        </w:rPr>
        <w:t xml:space="preserve"> </w:t>
      </w:r>
      <w:r w:rsidRPr="00A455C9">
        <w:rPr>
          <w:i w:val="0"/>
          <w:sz w:val="24"/>
          <w:szCs w:val="24"/>
          <w:lang w:val="en-GB"/>
        </w:rPr>
        <w:t xml:space="preserve">The purpose of the project, Inquiry in Gallery, was to scaffold these ecological dioramas as settings, materials and source of evidences for engaging participants in the debate of the dilemma between </w:t>
      </w:r>
      <w:r w:rsidR="00AB39AE">
        <w:rPr>
          <w:i w:val="0"/>
          <w:sz w:val="24"/>
          <w:szCs w:val="24"/>
          <w:lang w:val="en-GB"/>
        </w:rPr>
        <w:t>green</w:t>
      </w:r>
      <w:r w:rsidRPr="00A455C9">
        <w:rPr>
          <w:i w:val="0"/>
          <w:sz w:val="24"/>
          <w:szCs w:val="24"/>
          <w:lang w:val="en-GB"/>
        </w:rPr>
        <w:t xml:space="preserve"> energy installation and environment protection.</w:t>
      </w:r>
      <w:r w:rsidR="00AB39AE" w:rsidRPr="00AB39AE">
        <w:rPr>
          <w:i w:val="0"/>
          <w:sz w:val="24"/>
          <w:szCs w:val="24"/>
          <w:lang w:val="en-GB"/>
        </w:rPr>
        <w:t xml:space="preserve"> </w:t>
      </w:r>
      <w:r w:rsidR="00AB39AE" w:rsidRPr="00A455C9">
        <w:rPr>
          <w:i w:val="0"/>
          <w:sz w:val="24"/>
          <w:szCs w:val="24"/>
          <w:lang w:val="en-GB"/>
        </w:rPr>
        <w:t xml:space="preserve">The main scaffold of this project included two questions which the tasks of the participants were: first was “Which Renewable Energy Installations You Would Suggest for the Assigned Diorama?” second was “What Is the priority Order of the Ecology That Your Group Suggests </w:t>
      </w:r>
      <w:proofErr w:type="gramStart"/>
      <w:r w:rsidR="00AB39AE" w:rsidRPr="00A455C9">
        <w:rPr>
          <w:i w:val="0"/>
          <w:sz w:val="24"/>
          <w:szCs w:val="24"/>
          <w:lang w:val="en-GB"/>
        </w:rPr>
        <w:t>to</w:t>
      </w:r>
      <w:r w:rsidR="00AB39AE">
        <w:rPr>
          <w:i w:val="0"/>
          <w:sz w:val="24"/>
          <w:szCs w:val="24"/>
          <w:lang w:val="en-GB"/>
        </w:rPr>
        <w:t xml:space="preserve"> Build</w:t>
      </w:r>
      <w:proofErr w:type="gramEnd"/>
      <w:r w:rsidR="00AB39AE" w:rsidRPr="00A455C9">
        <w:rPr>
          <w:i w:val="0"/>
          <w:sz w:val="24"/>
          <w:szCs w:val="24"/>
          <w:lang w:val="en-GB"/>
        </w:rPr>
        <w:t xml:space="preserve"> Renewable Energy Installation?” The group presentation for the participants’ inference and decisions were collected as the evidences of achieving the purposes and feed back to age teaching module.</w:t>
      </w:r>
      <w:r w:rsidRPr="00A455C9">
        <w:rPr>
          <w:i w:val="0"/>
          <w:sz w:val="24"/>
          <w:szCs w:val="24"/>
          <w:lang w:val="en-GB"/>
        </w:rPr>
        <w:t xml:space="preserve"> The teaching took by the same experienced science educator who believed science knowledge came from social construction. There were 4 classes of 5 graders (10- year-old students total 96 students) participated in the teaching trial of the project. </w:t>
      </w:r>
      <w:r w:rsidR="00404334">
        <w:rPr>
          <w:i w:val="0"/>
          <w:sz w:val="24"/>
          <w:szCs w:val="24"/>
          <w:lang w:val="en-GB"/>
        </w:rPr>
        <w:t xml:space="preserve">Each class assigned students into 5 groups to participate in the program. </w:t>
      </w:r>
      <w:r w:rsidRPr="00A455C9">
        <w:rPr>
          <w:i w:val="0"/>
          <w:sz w:val="24"/>
          <w:szCs w:val="24"/>
          <w:lang w:val="en-GB"/>
        </w:rPr>
        <w:t xml:space="preserve">The </w:t>
      </w:r>
      <w:r w:rsidR="00871788">
        <w:rPr>
          <w:i w:val="0"/>
          <w:sz w:val="24"/>
          <w:szCs w:val="24"/>
          <w:lang w:val="en-GB"/>
        </w:rPr>
        <w:t>research findings included</w:t>
      </w:r>
      <w:r w:rsidRPr="00A455C9">
        <w:rPr>
          <w:i w:val="0"/>
          <w:sz w:val="24"/>
          <w:szCs w:val="24"/>
          <w:lang w:val="en-GB"/>
        </w:rPr>
        <w:t xml:space="preserve">: </w:t>
      </w:r>
      <w:r w:rsidR="00404334">
        <w:rPr>
          <w:i w:val="0"/>
          <w:sz w:val="24"/>
          <w:szCs w:val="24"/>
          <w:lang w:val="en-GB"/>
        </w:rPr>
        <w:t xml:space="preserve">all groups were aware of the tension between green power facilities and </w:t>
      </w:r>
      <w:r w:rsidR="00BC6BCD">
        <w:rPr>
          <w:i w:val="0"/>
          <w:sz w:val="24"/>
          <w:szCs w:val="24"/>
          <w:lang w:val="en-GB"/>
        </w:rPr>
        <w:t>conservative ecology;</w:t>
      </w:r>
      <w:r w:rsidR="00404334">
        <w:rPr>
          <w:i w:val="0"/>
          <w:sz w:val="24"/>
          <w:szCs w:val="24"/>
          <w:lang w:val="en-GB"/>
        </w:rPr>
        <w:t xml:space="preserve"> </w:t>
      </w:r>
      <w:r w:rsidRPr="00A455C9">
        <w:rPr>
          <w:i w:val="0"/>
          <w:sz w:val="24"/>
          <w:szCs w:val="24"/>
          <w:lang w:val="en-GB"/>
        </w:rPr>
        <w:t>primary school students</w:t>
      </w:r>
      <w:r w:rsidR="0020020D">
        <w:rPr>
          <w:i w:val="0"/>
          <w:sz w:val="24"/>
          <w:szCs w:val="24"/>
          <w:lang w:val="en-GB"/>
        </w:rPr>
        <w:t xml:space="preserve"> with misconceptions which influenced students’ matching the ecology with natural power facilities, such as hot temperature means much solar power</w:t>
      </w:r>
      <w:r w:rsidR="00AB39AE">
        <w:rPr>
          <w:i w:val="0"/>
          <w:sz w:val="24"/>
          <w:szCs w:val="24"/>
          <w:lang w:val="en-GB"/>
        </w:rPr>
        <w:t xml:space="preserve"> and</w:t>
      </w:r>
      <w:r w:rsidR="0020020D">
        <w:rPr>
          <w:i w:val="0"/>
          <w:sz w:val="24"/>
          <w:szCs w:val="24"/>
          <w:lang w:val="en-GB"/>
        </w:rPr>
        <w:t xml:space="preserve"> water power comes from waterfall</w:t>
      </w:r>
      <w:r w:rsidRPr="00A455C9">
        <w:rPr>
          <w:i w:val="0"/>
          <w:sz w:val="24"/>
          <w:szCs w:val="24"/>
          <w:lang w:val="en-GB"/>
        </w:rPr>
        <w:t xml:space="preserve">. </w:t>
      </w:r>
      <w:r w:rsidR="00AB39AE">
        <w:rPr>
          <w:i w:val="0"/>
          <w:sz w:val="24"/>
          <w:szCs w:val="24"/>
          <w:lang w:val="en-GB"/>
        </w:rPr>
        <w:t xml:space="preserve">This program used </w:t>
      </w:r>
      <w:r w:rsidRPr="00A455C9">
        <w:rPr>
          <w:i w:val="0"/>
          <w:sz w:val="24"/>
          <w:szCs w:val="24"/>
          <w:lang w:val="en-GB"/>
        </w:rPr>
        <w:t xml:space="preserve">the Benzene Ring Heuristic of scientific practice to </w:t>
      </w:r>
      <w:r w:rsidR="00AB39AE">
        <w:rPr>
          <w:i w:val="0"/>
          <w:sz w:val="24"/>
          <w:szCs w:val="24"/>
          <w:lang w:val="en-GB"/>
        </w:rPr>
        <w:t>help</w:t>
      </w:r>
      <w:r w:rsidRPr="00A455C9">
        <w:rPr>
          <w:i w:val="0"/>
          <w:sz w:val="24"/>
          <w:szCs w:val="24"/>
          <w:lang w:val="en-GB"/>
        </w:rPr>
        <w:t xml:space="preserve"> students</w:t>
      </w:r>
      <w:r w:rsidR="00AB39AE">
        <w:rPr>
          <w:i w:val="0"/>
          <w:sz w:val="24"/>
          <w:szCs w:val="24"/>
          <w:lang w:val="en-GB"/>
        </w:rPr>
        <w:t xml:space="preserve"> reflective thinking of their visiting experience as a kind of science inquiry</w:t>
      </w:r>
      <w:r w:rsidRPr="00A455C9">
        <w:rPr>
          <w:i w:val="0"/>
          <w:sz w:val="24"/>
          <w:szCs w:val="24"/>
          <w:lang w:val="en-GB"/>
        </w:rPr>
        <w:t xml:space="preserve">. </w:t>
      </w:r>
      <w:r w:rsidR="00031F74">
        <w:rPr>
          <w:i w:val="0"/>
          <w:sz w:val="24"/>
          <w:szCs w:val="24"/>
          <w:lang w:val="en-GB"/>
        </w:rPr>
        <w:t>There were discussion and suggestions for the educational meaning of diorama.</w:t>
      </w:r>
    </w:p>
    <w:p w:rsidR="00A108C8" w:rsidRDefault="00A108C8">
      <w:pPr>
        <w:pStyle w:val="Keywords1"/>
        <w:rPr>
          <w:rStyle w:val="Keywords0"/>
          <w:sz w:val="24"/>
          <w:szCs w:val="24"/>
        </w:rPr>
      </w:pPr>
    </w:p>
    <w:p w:rsidR="002C2BE7" w:rsidRPr="006D0E3E" w:rsidRDefault="002C2BE7">
      <w:pPr>
        <w:pStyle w:val="Keywords1"/>
        <w:rPr>
          <w:sz w:val="24"/>
          <w:szCs w:val="24"/>
        </w:rPr>
      </w:pPr>
      <w:r w:rsidRPr="006D0E3E">
        <w:rPr>
          <w:rStyle w:val="Keywords0"/>
          <w:sz w:val="24"/>
          <w:szCs w:val="24"/>
        </w:rPr>
        <w:t>Keywords:</w:t>
      </w:r>
      <w:r w:rsidRPr="006D0E3E">
        <w:rPr>
          <w:sz w:val="24"/>
          <w:szCs w:val="24"/>
        </w:rPr>
        <w:t xml:space="preserve"> </w:t>
      </w:r>
      <w:r w:rsidR="00031F74">
        <w:rPr>
          <w:sz w:val="24"/>
          <w:szCs w:val="24"/>
        </w:rPr>
        <w:t>science museum</w:t>
      </w:r>
      <w:r w:rsidRPr="006D0E3E">
        <w:rPr>
          <w:sz w:val="24"/>
          <w:szCs w:val="24"/>
        </w:rPr>
        <w:t xml:space="preserve">, </w:t>
      </w:r>
      <w:r w:rsidR="00031F74">
        <w:rPr>
          <w:sz w:val="24"/>
          <w:szCs w:val="24"/>
        </w:rPr>
        <w:t>inquiry learning</w:t>
      </w:r>
      <w:r w:rsidRPr="006D0E3E">
        <w:rPr>
          <w:sz w:val="24"/>
          <w:szCs w:val="24"/>
        </w:rPr>
        <w:t xml:space="preserve">, </w:t>
      </w:r>
      <w:r w:rsidR="00031F74">
        <w:rPr>
          <w:sz w:val="24"/>
          <w:szCs w:val="24"/>
        </w:rPr>
        <w:t>diorama</w:t>
      </w:r>
      <w:r w:rsidRPr="006D0E3E">
        <w:rPr>
          <w:sz w:val="24"/>
          <w:szCs w:val="24"/>
        </w:rPr>
        <w:t xml:space="preserve">, </w:t>
      </w:r>
      <w:r w:rsidR="00031F74">
        <w:rPr>
          <w:sz w:val="24"/>
          <w:szCs w:val="24"/>
        </w:rPr>
        <w:t>green energy</w:t>
      </w:r>
    </w:p>
    <w:p w:rsidR="002C2BE7" w:rsidRPr="006D0E3E" w:rsidRDefault="002C2BE7">
      <w:pPr>
        <w:pStyle w:val="MainText0"/>
        <w:rPr>
          <w:sz w:val="24"/>
          <w:szCs w:val="24"/>
        </w:rPr>
      </w:pPr>
    </w:p>
    <w:p w:rsidR="009F6C42" w:rsidRDefault="009F6C42" w:rsidP="006D0E3E">
      <w:pPr>
        <w:pStyle w:val="HeadingFirstLevel"/>
        <w:spacing w:line="240" w:lineRule="auto"/>
      </w:pPr>
    </w:p>
    <w:p w:rsidR="009F6C42" w:rsidRDefault="009F6C42" w:rsidP="006D0E3E">
      <w:pPr>
        <w:pStyle w:val="HeadingFirstLevel"/>
        <w:spacing w:line="240" w:lineRule="auto"/>
      </w:pPr>
    </w:p>
    <w:p w:rsidR="009F6C42" w:rsidRDefault="009F6C42" w:rsidP="006D0E3E">
      <w:pPr>
        <w:pStyle w:val="HeadingFirstLevel"/>
        <w:spacing w:line="240" w:lineRule="auto"/>
      </w:pPr>
    </w:p>
    <w:p w:rsidR="009F6C42" w:rsidRDefault="009F6C42" w:rsidP="006D0E3E">
      <w:pPr>
        <w:pStyle w:val="HeadingFirstLevel"/>
        <w:spacing w:line="240" w:lineRule="auto"/>
      </w:pPr>
    </w:p>
    <w:p w:rsidR="009F6C42" w:rsidRPr="00745049" w:rsidRDefault="009F6C42" w:rsidP="006D0E3E">
      <w:pPr>
        <w:pStyle w:val="HeadingFirstLevel"/>
        <w:spacing w:line="240" w:lineRule="auto"/>
        <w:rPr>
          <w:rFonts w:eastAsia="新細明體"/>
        </w:rPr>
      </w:pPr>
    </w:p>
    <w:p w:rsidR="00624C06" w:rsidRPr="000729F6" w:rsidRDefault="00624C06" w:rsidP="00624C06">
      <w:pPr>
        <w:pStyle w:val="MainText0"/>
        <w:rPr>
          <w:rFonts w:eastAsia="新細明體"/>
          <w:b/>
          <w:sz w:val="24"/>
          <w:szCs w:val="24"/>
        </w:rPr>
      </w:pPr>
      <w:r w:rsidRPr="000729F6">
        <w:rPr>
          <w:rFonts w:eastAsia="新細明體"/>
          <w:b/>
          <w:sz w:val="24"/>
          <w:szCs w:val="24"/>
        </w:rPr>
        <w:lastRenderedPageBreak/>
        <w:t>Introduction</w:t>
      </w:r>
    </w:p>
    <w:p w:rsidR="00624C06" w:rsidRDefault="00624C06" w:rsidP="00624C06">
      <w:pPr>
        <w:pStyle w:val="MainText0"/>
        <w:rPr>
          <w:rFonts w:eastAsia="新細明體"/>
          <w:sz w:val="24"/>
          <w:szCs w:val="24"/>
        </w:rPr>
      </w:pPr>
      <w:r w:rsidRPr="000729F6">
        <w:rPr>
          <w:rFonts w:eastAsia="新細明體"/>
          <w:sz w:val="24"/>
          <w:szCs w:val="24"/>
        </w:rPr>
        <w:t xml:space="preserve">The National Science Council of the Executive Yuan, the predecessor of the Ministry of Science and Technology, funded phase 1 of the National Energy Program (NEP-I) from 2008 to 2015 (National Science Council, 2013). The mid-term report of the NEP-1 established four directions for future energy programs in Taiwan: energy efficiency, energy usage and energy sustainability, renewable energy development and utilization, and the formulation and evaluation of energy technology development strategies. The main purpose of the NEP-1 was to introduce ideas about saving energy and reducing carbon emissions through formal and informal education. In March 2011, the Fukushima nuclear power plant disaster resulted in numerous NEP-1-based projects highlighting the use of green energy (diversified natural power). The NEP-1 funded several projects that evaluated students’ energy literacy (Shen, 2011; Yeh, Huang &amp; Yu, 2017), teachers’ attitudes toward teaching energy issues (Yeh &amp; Ku, 2011), and public constructs of energy values and behaviors (Chiu, 2012, 2013; Chiu, Yeh, &amp; Spangler, 2016). Empirical studies have shown that the program had investigated knowledge about climate change and attitudes toward energy-conservation behaviors (Shen, 2011; Yeh, 2011; Yeh, Huang &amp; Yu, 2017). Moreover, the studies had identified that there were many misconceptions or naïve ideas about energy saving actions and benefits for mitigating climate change (Shen, 2011; Yeh, Huang &amp; Yu, 2017). The final report of the NEP-1 adopted an open-forum approach and concluded that the influence of the program had prompted rational discussion among citizens about energy issues, but that the discussions were based on subjective estimations and value judgment (NEP-1 report, pp.128–129). Chiu, Yeh, and Spangler (2016) analyzed 10 </w:t>
      </w:r>
      <w:proofErr w:type="gramStart"/>
      <w:r w:rsidRPr="000729F6">
        <w:rPr>
          <w:rFonts w:eastAsia="新細明體"/>
          <w:sz w:val="24"/>
          <w:szCs w:val="24"/>
        </w:rPr>
        <w:t>energy</w:t>
      </w:r>
      <w:proofErr w:type="gramEnd"/>
      <w:r w:rsidRPr="000729F6">
        <w:rPr>
          <w:rFonts w:eastAsia="新細明體"/>
          <w:sz w:val="24"/>
          <w:szCs w:val="24"/>
        </w:rPr>
        <w:t xml:space="preserve"> saving and carbon reduction declarations that the government publicized through the NEP-1. A factor analysis revealed that these declarations included three value constructs and three behavior constructs, and correlation and regression analyses showed that the value constructs (nature and domestic technology values) predicted easy behavior but did not predict consideration. These studies revealed the same phenomenon: that people had knowledge about global warming and environmentally friendly behaviors but still followed common values rather than considering public welfare, evidence, and scientific knowledge. People adopt energy-conservation behaviors that are easy to implement and will consider behaviors based on other perceived needs, such as quality of life, personal safety, economic status, and timing.</w:t>
      </w:r>
    </w:p>
    <w:p w:rsidR="000729F6" w:rsidRPr="00745049" w:rsidRDefault="000729F6" w:rsidP="000729F6">
      <w:pPr>
        <w:pStyle w:val="MainText0"/>
        <w:rPr>
          <w:rFonts w:eastAsia="新細明體"/>
          <w:sz w:val="24"/>
          <w:szCs w:val="24"/>
        </w:rPr>
      </w:pPr>
      <w:r w:rsidRPr="00745049">
        <w:rPr>
          <w:rFonts w:eastAsia="新細明體"/>
          <w:sz w:val="24"/>
          <w:szCs w:val="24"/>
        </w:rPr>
        <w:t>The aim of this study was to construct scaffolding for museum energy education that addresses the tension between energy facilities and n</w:t>
      </w:r>
      <w:r w:rsidRPr="00745049">
        <w:rPr>
          <w:rFonts w:eastAsia="新細明體" w:hint="eastAsia"/>
          <w:sz w:val="24"/>
          <w:szCs w:val="24"/>
        </w:rPr>
        <w:t>a</w:t>
      </w:r>
      <w:r w:rsidRPr="00745049">
        <w:rPr>
          <w:rFonts w:eastAsia="新細明體"/>
          <w:sz w:val="24"/>
          <w:szCs w:val="24"/>
        </w:rPr>
        <w:t>ture conservation. Special attention was given to how different age groups make their decisions and how they view the conflict between energy development and nature conservation. This study was conducted in Taiwan, where the use of technology has resulted in a materialistic lifestyle; however, the focus of the government and public is shifting to a low-carbon future.</w:t>
      </w:r>
    </w:p>
    <w:p w:rsidR="000729F6" w:rsidRPr="00745049" w:rsidRDefault="000729F6" w:rsidP="000729F6">
      <w:pPr>
        <w:pStyle w:val="MainText0"/>
        <w:rPr>
          <w:rFonts w:eastAsia="新細明體"/>
          <w:sz w:val="24"/>
          <w:szCs w:val="24"/>
        </w:rPr>
      </w:pPr>
    </w:p>
    <w:p w:rsidR="000729F6" w:rsidRPr="00745049" w:rsidRDefault="000729F6" w:rsidP="000729F6">
      <w:pPr>
        <w:pStyle w:val="MainText0"/>
        <w:rPr>
          <w:rFonts w:eastAsia="新細明體" w:hint="eastAsia"/>
          <w:b/>
          <w:sz w:val="24"/>
          <w:szCs w:val="24"/>
        </w:rPr>
      </w:pPr>
      <w:r w:rsidRPr="00745049">
        <w:rPr>
          <w:rFonts w:eastAsia="新細明體" w:hint="eastAsia"/>
          <w:b/>
          <w:sz w:val="24"/>
          <w:szCs w:val="24"/>
        </w:rPr>
        <w:t>M</w:t>
      </w:r>
      <w:r w:rsidRPr="00745049">
        <w:rPr>
          <w:rFonts w:eastAsia="新細明體"/>
          <w:b/>
          <w:sz w:val="24"/>
          <w:szCs w:val="24"/>
        </w:rPr>
        <w:t>ethod</w:t>
      </w:r>
    </w:p>
    <w:p w:rsidR="000729F6" w:rsidRDefault="000729F6" w:rsidP="00624C06">
      <w:pPr>
        <w:pStyle w:val="MainText0"/>
        <w:rPr>
          <w:rFonts w:eastAsia="新細明體"/>
          <w:sz w:val="24"/>
          <w:szCs w:val="24"/>
        </w:rPr>
      </w:pPr>
      <w:r w:rsidRPr="000729F6">
        <w:rPr>
          <w:rFonts w:eastAsia="新細明體"/>
          <w:sz w:val="24"/>
          <w:szCs w:val="24"/>
        </w:rPr>
        <w:t>The teaching trials for 4 classes of 10-year-old students were a total of 96 students participated in the trials. Two partner teachers helped me observe the participants’ behavior while students observed the diorama and engaged in group discussions. The teachers observed each group for 3 minutes and completed a behavior checklist.</w:t>
      </w:r>
    </w:p>
    <w:p w:rsidR="000729F6" w:rsidRPr="00745049" w:rsidRDefault="000729F6" w:rsidP="00624C06">
      <w:pPr>
        <w:pStyle w:val="MainText0"/>
        <w:rPr>
          <w:rFonts w:eastAsia="新細明體"/>
          <w:sz w:val="24"/>
          <w:szCs w:val="24"/>
        </w:rPr>
      </w:pPr>
      <w:r w:rsidRPr="00745049">
        <w:rPr>
          <w:rFonts w:eastAsia="新細明體" w:hint="eastAsia"/>
          <w:sz w:val="24"/>
          <w:szCs w:val="24"/>
        </w:rPr>
        <w:t>T</w:t>
      </w:r>
      <w:r w:rsidRPr="00745049">
        <w:rPr>
          <w:rFonts w:eastAsia="新細明體"/>
          <w:sz w:val="24"/>
          <w:szCs w:val="24"/>
        </w:rPr>
        <w:t>he</w:t>
      </w:r>
      <w:r w:rsidR="00650F20" w:rsidRPr="00745049">
        <w:rPr>
          <w:rFonts w:eastAsia="新細明體"/>
          <w:sz w:val="24"/>
          <w:szCs w:val="24"/>
        </w:rPr>
        <w:t xml:space="preserve"> teaching process was illustrating as fig 1.</w:t>
      </w:r>
    </w:p>
    <w:p w:rsidR="00650F20" w:rsidRPr="00745049" w:rsidRDefault="00650F20" w:rsidP="00624C06">
      <w:pPr>
        <w:pStyle w:val="MainText0"/>
        <w:rPr>
          <w:rFonts w:eastAsia="新細明體"/>
          <w:sz w:val="24"/>
          <w:szCs w:val="24"/>
        </w:rPr>
      </w:pPr>
    </w:p>
    <w:p w:rsidR="00650F20" w:rsidRDefault="00650F20" w:rsidP="00624C06">
      <w:pPr>
        <w:pStyle w:val="MainText0"/>
        <w:rPr>
          <w:rFonts w:eastAsia="新細明體"/>
          <w:sz w:val="24"/>
          <w:szCs w:val="24"/>
        </w:rPr>
      </w:pPr>
      <w:r>
        <w:rPr>
          <w:rFonts w:eastAsia="新細明體"/>
          <w:noProof/>
          <w:sz w:val="24"/>
          <w:szCs w:val="24"/>
        </w:rPr>
      </w:r>
      <w:r>
        <w:rPr>
          <w:rFonts w:eastAsia="新細明體"/>
          <w:sz w:val="24"/>
          <w:szCs w:val="24"/>
        </w:rPr>
        <w:pict w14:anchorId="60274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415.25pt;height:164.65pt;mso-left-percent:-10001;mso-top-percent:-10001;mso-position-horizontal:absolute;mso-position-horizontal-relative:char;mso-position-vertical:absolute;mso-position-vertical-relative:line;mso-left-percent:-10001;mso-top-percent:-10001">
            <v:imagedata r:id="rId8" o:title=""/>
            <w10:anchorlock/>
          </v:shape>
        </w:pict>
      </w:r>
    </w:p>
    <w:p w:rsidR="00650F20" w:rsidRPr="00745049" w:rsidRDefault="00650F20" w:rsidP="00624C06">
      <w:pPr>
        <w:pStyle w:val="MainText0"/>
        <w:rPr>
          <w:rFonts w:eastAsia="新細明體"/>
          <w:sz w:val="24"/>
          <w:szCs w:val="24"/>
        </w:rPr>
      </w:pPr>
      <w:r w:rsidRPr="00745049">
        <w:rPr>
          <w:rFonts w:eastAsia="新細明體"/>
          <w:i/>
          <w:sz w:val="24"/>
          <w:szCs w:val="24"/>
        </w:rPr>
        <w:t>Fig.1</w:t>
      </w:r>
      <w:r w:rsidRPr="00745049">
        <w:rPr>
          <w:rFonts w:eastAsia="新細明體"/>
          <w:sz w:val="24"/>
          <w:szCs w:val="24"/>
        </w:rPr>
        <w:t xml:space="preserve"> the teaching process of the program.</w:t>
      </w:r>
    </w:p>
    <w:p w:rsidR="00650F20" w:rsidRPr="00745049" w:rsidRDefault="00650F20" w:rsidP="00624C06">
      <w:pPr>
        <w:pStyle w:val="MainText0"/>
        <w:rPr>
          <w:rFonts w:eastAsia="新細明體"/>
          <w:sz w:val="24"/>
          <w:szCs w:val="24"/>
        </w:rPr>
      </w:pPr>
    </w:p>
    <w:p w:rsidR="00650F20" w:rsidRPr="00745049" w:rsidRDefault="00650F20" w:rsidP="00624C06">
      <w:pPr>
        <w:pStyle w:val="MainText0"/>
        <w:rPr>
          <w:rFonts w:eastAsia="新細明體"/>
          <w:sz w:val="24"/>
          <w:szCs w:val="24"/>
        </w:rPr>
      </w:pPr>
      <w:r w:rsidRPr="00745049">
        <w:rPr>
          <w:rFonts w:eastAsia="新細明體" w:hint="eastAsia"/>
          <w:sz w:val="24"/>
          <w:szCs w:val="24"/>
        </w:rPr>
        <w:t>R</w:t>
      </w:r>
      <w:r w:rsidRPr="00745049">
        <w:rPr>
          <w:rFonts w:eastAsia="新細明體"/>
          <w:sz w:val="24"/>
          <w:szCs w:val="24"/>
        </w:rPr>
        <w:t>esearch Findings</w:t>
      </w:r>
    </w:p>
    <w:p w:rsidR="00650F20" w:rsidRPr="00745049" w:rsidRDefault="00650F20" w:rsidP="00650F20">
      <w:pPr>
        <w:pStyle w:val="MainText0"/>
        <w:rPr>
          <w:rFonts w:eastAsia="新細明體"/>
        </w:rPr>
      </w:pPr>
      <w:r w:rsidRPr="00745049">
        <w:rPr>
          <w:rFonts w:eastAsia="新細明體"/>
        </w:rPr>
        <w:t xml:space="preserve">Table 1. </w:t>
      </w:r>
      <w:r w:rsidRPr="00745049">
        <w:rPr>
          <w:rFonts w:eastAsia="新細明體" w:hint="eastAsia"/>
        </w:rPr>
        <w:t>R</w:t>
      </w:r>
      <w:r w:rsidRPr="00745049">
        <w:rPr>
          <w:rFonts w:eastAsia="新細明體"/>
        </w:rPr>
        <w:t xml:space="preserve">esponses from the fifth-grade students </w:t>
      </w:r>
      <w:bookmarkStart w:id="0" w:name="_Hlk489257661"/>
    </w:p>
    <w:tbl>
      <w:tblPr>
        <w:tblW w:w="0" w:type="auto"/>
        <w:tblBorders>
          <w:top w:val="single" w:sz="4" w:space="0" w:color="auto"/>
          <w:bottom w:val="single" w:sz="4" w:space="0" w:color="auto"/>
        </w:tblBorders>
        <w:tblLook w:val="04A0" w:firstRow="1" w:lastRow="0" w:firstColumn="1" w:lastColumn="0" w:noHBand="0" w:noVBand="1"/>
      </w:tblPr>
      <w:tblGrid>
        <w:gridCol w:w="1630"/>
        <w:gridCol w:w="1986"/>
        <w:gridCol w:w="2458"/>
        <w:gridCol w:w="2232"/>
      </w:tblGrid>
      <w:tr w:rsidR="00745049" w:rsidRPr="00745049" w:rsidTr="00745049">
        <w:tc>
          <w:tcPr>
            <w:tcW w:w="1630"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Diorama</w:t>
            </w:r>
          </w:p>
        </w:tc>
        <w:tc>
          <w:tcPr>
            <w:tcW w:w="1986"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Alternative power facility</w:t>
            </w:r>
          </w:p>
        </w:tc>
        <w:tc>
          <w:tcPr>
            <w:tcW w:w="2458"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hint="eastAsia"/>
              </w:rPr>
              <w:t>R</w:t>
            </w:r>
            <w:r w:rsidRPr="00745049">
              <w:rPr>
                <w:rFonts w:eastAsia="新細明體"/>
              </w:rPr>
              <w:t>easons</w:t>
            </w:r>
          </w:p>
        </w:tc>
        <w:tc>
          <w:tcPr>
            <w:tcW w:w="2232"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 xml:space="preserve">Decision of whether to implement the selected power facility </w:t>
            </w:r>
            <w:r w:rsidRPr="00745049">
              <w:rPr>
                <w:rFonts w:eastAsia="新細明體" w:hint="eastAsia"/>
              </w:rPr>
              <w:t>i</w:t>
            </w:r>
            <w:r w:rsidRPr="00745049">
              <w:rPr>
                <w:rFonts w:eastAsia="新細明體"/>
              </w:rPr>
              <w:t>n this ecological environment</w:t>
            </w:r>
          </w:p>
        </w:tc>
      </w:tr>
      <w:tr w:rsidR="00745049" w:rsidRPr="00745049" w:rsidTr="00745049">
        <w:tc>
          <w:tcPr>
            <w:tcW w:w="1630" w:type="dxa"/>
            <w:vMerge w:val="restart"/>
            <w:tcBorders>
              <w:top w:val="single" w:sz="4" w:space="0" w:color="auto"/>
              <w:left w:val="nil"/>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Canadian Tundra</w:t>
            </w:r>
          </w:p>
        </w:tc>
        <w:tc>
          <w:tcPr>
            <w:tcW w:w="1986" w:type="dxa"/>
            <w:tcBorders>
              <w:top w:val="single" w:sz="4" w:space="0" w:color="auto"/>
              <w:left w:val="nil"/>
              <w:bottom w:val="single" w:sz="4" w:space="0" w:color="auto"/>
              <w:right w:val="nil"/>
            </w:tcBorders>
            <w:shd w:val="clear" w:color="auto" w:fill="auto"/>
          </w:tcPr>
          <w:p w:rsidR="00650F20" w:rsidRPr="00745049" w:rsidRDefault="00650F20" w:rsidP="00745049">
            <w:pPr>
              <w:pStyle w:val="MainText0"/>
              <w:rPr>
                <w:rFonts w:eastAsia="新細明體"/>
              </w:rPr>
            </w:pPr>
            <w:r w:rsidRPr="00745049">
              <w:rPr>
                <w:rFonts w:eastAsia="新細明體"/>
              </w:rPr>
              <w:t>Wind power</w:t>
            </w:r>
          </w:p>
          <w:p w:rsidR="00650F20" w:rsidRPr="00745049" w:rsidRDefault="00650F20" w:rsidP="00745049">
            <w:pPr>
              <w:pStyle w:val="MainText0"/>
              <w:rPr>
                <w:rFonts w:eastAsia="新細明體"/>
              </w:rPr>
            </w:pPr>
          </w:p>
        </w:tc>
        <w:tc>
          <w:tcPr>
            <w:tcW w:w="2458"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hint="eastAsia"/>
              </w:rPr>
              <w:t>A</w:t>
            </w:r>
            <w:r w:rsidRPr="00745049">
              <w:rPr>
                <w:rFonts w:eastAsia="新細明體"/>
              </w:rPr>
              <w:t xml:space="preserve">nimals that live here look furry, so this place might be cold and windy </w:t>
            </w:r>
          </w:p>
          <w:p w:rsidR="00650F20" w:rsidRPr="00745049" w:rsidRDefault="00650F20" w:rsidP="00745049">
            <w:pPr>
              <w:pStyle w:val="MainText0"/>
              <w:rPr>
                <w:rFonts w:eastAsia="新細明體"/>
              </w:rPr>
            </w:pPr>
            <w:r w:rsidRPr="00745049">
              <w:rPr>
                <w:rFonts w:eastAsia="新細明體" w:hint="eastAsia"/>
              </w:rPr>
              <w:t>I</w:t>
            </w:r>
            <w:r w:rsidRPr="00745049">
              <w:rPr>
                <w:rFonts w:eastAsia="新細明體"/>
              </w:rPr>
              <w:t xml:space="preserve">t is too cold to produce solar photovoltaic power </w:t>
            </w:r>
          </w:p>
        </w:tc>
        <w:tc>
          <w:tcPr>
            <w:tcW w:w="2232" w:type="dxa"/>
            <w:vMerge w:val="restart"/>
            <w:tcBorders>
              <w:top w:val="single" w:sz="4" w:space="0" w:color="auto"/>
              <w:left w:val="nil"/>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 xml:space="preserve">Decided to develop this area </w:t>
            </w:r>
          </w:p>
          <w:p w:rsidR="00650F20" w:rsidRPr="00745049" w:rsidRDefault="00650F20" w:rsidP="00745049">
            <w:pPr>
              <w:pStyle w:val="MainText0"/>
              <w:rPr>
                <w:rFonts w:eastAsia="新細明體"/>
              </w:rPr>
            </w:pPr>
            <w:r w:rsidRPr="00745049">
              <w:rPr>
                <w:rFonts w:eastAsia="新細明體" w:hint="eastAsia"/>
              </w:rPr>
              <w:t>R</w:t>
            </w:r>
            <w:r w:rsidRPr="00745049">
              <w:rPr>
                <w:rFonts w:eastAsia="新細明體"/>
              </w:rPr>
              <w:t>easons:</w:t>
            </w:r>
          </w:p>
          <w:p w:rsidR="00650F20" w:rsidRPr="00745049" w:rsidRDefault="00650F20" w:rsidP="00745049">
            <w:pPr>
              <w:pStyle w:val="MainText0"/>
              <w:numPr>
                <w:ilvl w:val="0"/>
                <w:numId w:val="2"/>
              </w:numPr>
              <w:rPr>
                <w:rFonts w:eastAsia="新細明體"/>
              </w:rPr>
            </w:pPr>
            <w:r w:rsidRPr="00745049">
              <w:rPr>
                <w:rFonts w:eastAsia="新細明體"/>
              </w:rPr>
              <w:t>Few animals and plants</w:t>
            </w:r>
          </w:p>
          <w:p w:rsidR="00650F20" w:rsidRPr="00745049" w:rsidRDefault="00650F20" w:rsidP="00745049">
            <w:pPr>
              <w:pStyle w:val="MainText0"/>
              <w:numPr>
                <w:ilvl w:val="0"/>
                <w:numId w:val="2"/>
              </w:numPr>
              <w:rPr>
                <w:rFonts w:eastAsia="新細明體"/>
              </w:rPr>
            </w:pPr>
            <w:r w:rsidRPr="00745049">
              <w:rPr>
                <w:rFonts w:eastAsia="新細明體"/>
              </w:rPr>
              <w:t>Few trees</w:t>
            </w:r>
          </w:p>
          <w:p w:rsidR="00650F20" w:rsidRPr="00745049" w:rsidRDefault="00650F20" w:rsidP="00745049">
            <w:pPr>
              <w:pStyle w:val="MainText0"/>
              <w:numPr>
                <w:ilvl w:val="0"/>
                <w:numId w:val="2"/>
              </w:numPr>
              <w:rPr>
                <w:rFonts w:eastAsia="新細明體"/>
              </w:rPr>
            </w:pPr>
            <w:r w:rsidRPr="00745049">
              <w:rPr>
                <w:rFonts w:eastAsia="新細明體"/>
              </w:rPr>
              <w:t xml:space="preserve">No international conservation species </w:t>
            </w:r>
          </w:p>
        </w:tc>
      </w:tr>
      <w:tr w:rsidR="00745049" w:rsidRPr="00745049" w:rsidTr="00745049">
        <w:tc>
          <w:tcPr>
            <w:tcW w:w="1630" w:type="dxa"/>
            <w:vMerge/>
            <w:tcBorders>
              <w:left w:val="nil"/>
              <w:bottom w:val="single" w:sz="4" w:space="0" w:color="auto"/>
              <w:right w:val="nil"/>
            </w:tcBorders>
            <w:shd w:val="clear" w:color="auto" w:fill="auto"/>
          </w:tcPr>
          <w:p w:rsidR="00650F20" w:rsidRPr="00745049" w:rsidRDefault="00650F20" w:rsidP="00745049">
            <w:pPr>
              <w:pStyle w:val="MainText0"/>
              <w:rPr>
                <w:rFonts w:eastAsia="新細明體"/>
              </w:rPr>
            </w:pPr>
          </w:p>
        </w:tc>
        <w:tc>
          <w:tcPr>
            <w:tcW w:w="1986" w:type="dxa"/>
            <w:tcBorders>
              <w:top w:val="single" w:sz="4" w:space="0" w:color="auto"/>
              <w:left w:val="nil"/>
              <w:bottom w:val="single" w:sz="4" w:space="0" w:color="auto"/>
              <w:right w:val="nil"/>
            </w:tcBorders>
            <w:shd w:val="clear" w:color="auto" w:fill="auto"/>
          </w:tcPr>
          <w:p w:rsidR="00650F20" w:rsidRPr="00745049" w:rsidRDefault="00650F20" w:rsidP="00745049">
            <w:pPr>
              <w:pStyle w:val="MainText0"/>
              <w:rPr>
                <w:rFonts w:eastAsia="新細明體"/>
              </w:rPr>
            </w:pPr>
            <w:r w:rsidRPr="00745049">
              <w:rPr>
                <w:rFonts w:eastAsia="新細明體"/>
              </w:rPr>
              <w:t>Solar power</w:t>
            </w:r>
          </w:p>
        </w:tc>
        <w:tc>
          <w:tcPr>
            <w:tcW w:w="2458" w:type="dxa"/>
            <w:tcBorders>
              <w:top w:val="single" w:sz="4" w:space="0" w:color="auto"/>
              <w:left w:val="nil"/>
              <w:bottom w:val="single" w:sz="4" w:space="0" w:color="auto"/>
              <w:right w:val="nil"/>
            </w:tcBorders>
            <w:shd w:val="clear" w:color="auto" w:fill="auto"/>
          </w:tcPr>
          <w:p w:rsidR="00650F20" w:rsidRPr="00745049" w:rsidRDefault="00650F20" w:rsidP="00745049">
            <w:pPr>
              <w:pStyle w:val="MainText0"/>
              <w:rPr>
                <w:rFonts w:eastAsia="新細明體"/>
              </w:rPr>
            </w:pPr>
            <w:r w:rsidRPr="00745049">
              <w:rPr>
                <w:rFonts w:eastAsia="新細明體"/>
              </w:rPr>
              <w:t>High latitude area with a lot of sun in summer</w:t>
            </w:r>
          </w:p>
          <w:p w:rsidR="00650F20" w:rsidRPr="00745049" w:rsidRDefault="00650F20" w:rsidP="00745049">
            <w:pPr>
              <w:pStyle w:val="MainText0"/>
              <w:rPr>
                <w:rFonts w:eastAsia="新細明體"/>
              </w:rPr>
            </w:pPr>
            <w:r w:rsidRPr="00745049">
              <w:rPr>
                <w:rFonts w:eastAsia="新細明體"/>
              </w:rPr>
              <w:t>No forests, so it is good for solar power</w:t>
            </w:r>
          </w:p>
        </w:tc>
        <w:tc>
          <w:tcPr>
            <w:tcW w:w="2232" w:type="dxa"/>
            <w:vMerge/>
            <w:tcBorders>
              <w:left w:val="nil"/>
              <w:bottom w:val="single" w:sz="4" w:space="0" w:color="auto"/>
              <w:right w:val="nil"/>
            </w:tcBorders>
            <w:shd w:val="clear" w:color="auto" w:fill="auto"/>
          </w:tcPr>
          <w:p w:rsidR="00650F20" w:rsidRPr="00745049" w:rsidRDefault="00650F20" w:rsidP="00745049">
            <w:pPr>
              <w:pStyle w:val="MainText0"/>
              <w:rPr>
                <w:rFonts w:eastAsia="新細明體"/>
              </w:rPr>
            </w:pPr>
          </w:p>
        </w:tc>
      </w:tr>
      <w:tr w:rsidR="00745049" w:rsidRPr="00745049" w:rsidTr="00745049">
        <w:tc>
          <w:tcPr>
            <w:tcW w:w="1630" w:type="dxa"/>
            <w:tcBorders>
              <w:top w:val="single" w:sz="4" w:space="0" w:color="auto"/>
              <w:left w:val="nil"/>
              <w:bottom w:val="nil"/>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Manchurian Temperate Forest</w:t>
            </w:r>
          </w:p>
        </w:tc>
        <w:tc>
          <w:tcPr>
            <w:tcW w:w="1986" w:type="dxa"/>
            <w:tcBorders>
              <w:top w:val="single" w:sz="4" w:space="0" w:color="auto"/>
              <w:left w:val="nil"/>
              <w:bottom w:val="nil"/>
              <w:right w:val="nil"/>
            </w:tcBorders>
            <w:shd w:val="clear" w:color="auto" w:fill="auto"/>
          </w:tcPr>
          <w:p w:rsidR="00650F20" w:rsidRPr="00745049" w:rsidRDefault="00650F20" w:rsidP="00745049">
            <w:pPr>
              <w:pStyle w:val="MainText0"/>
              <w:rPr>
                <w:rFonts w:eastAsia="新細明體"/>
              </w:rPr>
            </w:pPr>
            <w:r w:rsidRPr="00745049">
              <w:rPr>
                <w:rFonts w:eastAsia="新細明體"/>
              </w:rPr>
              <w:t>Solar power</w:t>
            </w:r>
          </w:p>
          <w:p w:rsidR="00650F20" w:rsidRPr="00745049" w:rsidRDefault="00650F20" w:rsidP="00745049">
            <w:pPr>
              <w:pStyle w:val="MainText0"/>
              <w:rPr>
                <w:rFonts w:eastAsia="新細明體"/>
              </w:rPr>
            </w:pPr>
          </w:p>
          <w:p w:rsidR="00650F20" w:rsidRPr="00745049" w:rsidRDefault="00650F20" w:rsidP="00745049">
            <w:pPr>
              <w:pStyle w:val="MainText0"/>
              <w:rPr>
                <w:rFonts w:eastAsia="新細明體"/>
              </w:rPr>
            </w:pPr>
          </w:p>
          <w:p w:rsidR="00650F20" w:rsidRPr="00745049" w:rsidRDefault="00650F20" w:rsidP="00745049">
            <w:pPr>
              <w:pStyle w:val="MainText0"/>
              <w:rPr>
                <w:rFonts w:eastAsia="新細明體"/>
              </w:rPr>
            </w:pPr>
          </w:p>
        </w:tc>
        <w:tc>
          <w:tcPr>
            <w:tcW w:w="2458" w:type="dxa"/>
            <w:tcBorders>
              <w:top w:val="single" w:sz="4" w:space="0" w:color="auto"/>
              <w:left w:val="nil"/>
              <w:bottom w:val="nil"/>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Not good for all types of alternative power, put solar power panels on tree tops might barely use</w:t>
            </w:r>
          </w:p>
        </w:tc>
        <w:tc>
          <w:tcPr>
            <w:tcW w:w="2232" w:type="dxa"/>
            <w:tcBorders>
              <w:top w:val="single" w:sz="4" w:space="0" w:color="auto"/>
              <w:left w:val="nil"/>
              <w:bottom w:val="nil"/>
              <w:right w:val="nil"/>
            </w:tcBorders>
            <w:shd w:val="clear" w:color="auto" w:fill="auto"/>
            <w:hideMark/>
          </w:tcPr>
          <w:p w:rsidR="00650F20" w:rsidRPr="00745049" w:rsidRDefault="00650F20" w:rsidP="00745049">
            <w:pPr>
              <w:pStyle w:val="MainText0"/>
              <w:rPr>
                <w:rFonts w:eastAsia="新細明體"/>
              </w:rPr>
            </w:pPr>
            <w:r w:rsidRPr="00745049">
              <w:rPr>
                <w:rFonts w:eastAsia="新細明體" w:hint="eastAsia"/>
              </w:rPr>
              <w:t>D</w:t>
            </w:r>
            <w:r w:rsidRPr="00745049">
              <w:rPr>
                <w:rFonts w:eastAsia="新細明體"/>
              </w:rPr>
              <w:t xml:space="preserve">isagreement to develop this area first. </w:t>
            </w:r>
          </w:p>
          <w:p w:rsidR="00650F20" w:rsidRPr="00745049" w:rsidRDefault="00650F20" w:rsidP="00745049">
            <w:pPr>
              <w:pStyle w:val="MainText0"/>
              <w:rPr>
                <w:rFonts w:eastAsia="新細明體"/>
              </w:rPr>
            </w:pPr>
            <w:r w:rsidRPr="00745049">
              <w:rPr>
                <w:rFonts w:eastAsia="新細明體" w:hint="eastAsia"/>
              </w:rPr>
              <w:t>R</w:t>
            </w:r>
            <w:r w:rsidRPr="00745049">
              <w:rPr>
                <w:rFonts w:eastAsia="新細明體"/>
              </w:rPr>
              <w:t>easons:</w:t>
            </w:r>
          </w:p>
          <w:p w:rsidR="00650F20" w:rsidRPr="00745049" w:rsidRDefault="00650F20" w:rsidP="00745049">
            <w:pPr>
              <w:pStyle w:val="MainText0"/>
              <w:numPr>
                <w:ilvl w:val="0"/>
                <w:numId w:val="4"/>
              </w:numPr>
              <w:rPr>
                <w:rFonts w:eastAsia="新細明體"/>
              </w:rPr>
            </w:pPr>
            <w:r w:rsidRPr="00745049">
              <w:rPr>
                <w:rFonts w:eastAsia="新細明體" w:hint="eastAsia"/>
              </w:rPr>
              <w:t>T</w:t>
            </w:r>
            <w:r w:rsidRPr="00745049">
              <w:rPr>
                <w:rFonts w:eastAsia="新細明體"/>
              </w:rPr>
              <w:t>he facility would require the removal of many trees</w:t>
            </w:r>
          </w:p>
          <w:p w:rsidR="00650F20" w:rsidRPr="00745049" w:rsidRDefault="00650F20" w:rsidP="00745049">
            <w:pPr>
              <w:pStyle w:val="MainText0"/>
              <w:numPr>
                <w:ilvl w:val="0"/>
                <w:numId w:val="4"/>
              </w:numPr>
              <w:rPr>
                <w:rFonts w:eastAsia="新細明體"/>
              </w:rPr>
            </w:pPr>
            <w:r w:rsidRPr="00745049">
              <w:rPr>
                <w:rFonts w:eastAsia="新細明體" w:hint="eastAsia"/>
              </w:rPr>
              <w:t>T</w:t>
            </w:r>
            <w:r w:rsidRPr="00745049">
              <w:rPr>
                <w:rFonts w:eastAsia="新細明體"/>
              </w:rPr>
              <w:t>igers are an internationally protected species</w:t>
            </w:r>
          </w:p>
          <w:p w:rsidR="00650F20" w:rsidRPr="00745049" w:rsidRDefault="00650F20" w:rsidP="00745049">
            <w:pPr>
              <w:pStyle w:val="MainText0"/>
              <w:numPr>
                <w:ilvl w:val="0"/>
                <w:numId w:val="4"/>
              </w:numPr>
              <w:rPr>
                <w:rFonts w:eastAsia="新細明體"/>
              </w:rPr>
            </w:pPr>
            <w:r w:rsidRPr="00745049">
              <w:rPr>
                <w:rFonts w:eastAsia="新細明體"/>
              </w:rPr>
              <w:t xml:space="preserve">No power facility should be built in this environment </w:t>
            </w:r>
          </w:p>
        </w:tc>
      </w:tr>
      <w:tr w:rsidR="00745049" w:rsidRPr="00745049" w:rsidTr="00745049">
        <w:tc>
          <w:tcPr>
            <w:tcW w:w="1630" w:type="dxa"/>
            <w:tcBorders>
              <w:top w:val="nil"/>
              <w:left w:val="nil"/>
              <w:bottom w:val="single" w:sz="4" w:space="0" w:color="auto"/>
              <w:right w:val="nil"/>
            </w:tcBorders>
            <w:shd w:val="clear" w:color="auto" w:fill="auto"/>
          </w:tcPr>
          <w:p w:rsidR="00650F20" w:rsidRPr="00745049" w:rsidRDefault="00650F20" w:rsidP="00745049">
            <w:pPr>
              <w:pStyle w:val="MainText0"/>
              <w:rPr>
                <w:rFonts w:eastAsia="新細明體"/>
              </w:rPr>
            </w:pPr>
          </w:p>
        </w:tc>
        <w:tc>
          <w:tcPr>
            <w:tcW w:w="1986" w:type="dxa"/>
            <w:tcBorders>
              <w:top w:val="nil"/>
              <w:left w:val="nil"/>
              <w:bottom w:val="single" w:sz="4" w:space="0" w:color="auto"/>
              <w:right w:val="nil"/>
            </w:tcBorders>
            <w:shd w:val="clear" w:color="auto" w:fill="auto"/>
          </w:tcPr>
          <w:p w:rsidR="00650F20" w:rsidRPr="00745049" w:rsidRDefault="00650F20" w:rsidP="00745049">
            <w:pPr>
              <w:pStyle w:val="MainText0"/>
              <w:rPr>
                <w:rFonts w:eastAsia="新細明體"/>
              </w:rPr>
            </w:pPr>
            <w:r w:rsidRPr="00745049">
              <w:rPr>
                <w:rFonts w:eastAsia="新細明體" w:hint="eastAsia"/>
              </w:rPr>
              <w:t>N</w:t>
            </w:r>
            <w:r w:rsidRPr="00745049">
              <w:rPr>
                <w:rFonts w:eastAsia="新細明體"/>
              </w:rPr>
              <w:t>ot an adequate option</w:t>
            </w:r>
          </w:p>
        </w:tc>
        <w:tc>
          <w:tcPr>
            <w:tcW w:w="2458" w:type="dxa"/>
            <w:tcBorders>
              <w:top w:val="nil"/>
              <w:left w:val="nil"/>
              <w:bottom w:val="single" w:sz="4" w:space="0" w:color="auto"/>
              <w:right w:val="nil"/>
            </w:tcBorders>
            <w:shd w:val="clear" w:color="auto" w:fill="auto"/>
          </w:tcPr>
          <w:p w:rsidR="00650F20" w:rsidRPr="00745049" w:rsidRDefault="00650F20" w:rsidP="00745049">
            <w:pPr>
              <w:pStyle w:val="MainText0"/>
              <w:numPr>
                <w:ilvl w:val="0"/>
                <w:numId w:val="1"/>
              </w:numPr>
              <w:rPr>
                <w:rFonts w:eastAsia="新細明體"/>
              </w:rPr>
            </w:pPr>
            <w:r w:rsidRPr="00745049">
              <w:rPr>
                <w:rFonts w:eastAsia="新細明體" w:hint="eastAsia"/>
              </w:rPr>
              <w:t>T</w:t>
            </w:r>
            <w:r w:rsidRPr="00745049">
              <w:rPr>
                <w:rFonts w:eastAsia="新細明體"/>
              </w:rPr>
              <w:t>oo many trees would shadow solar power panels</w:t>
            </w:r>
          </w:p>
          <w:p w:rsidR="00650F20" w:rsidRPr="00745049" w:rsidRDefault="00650F20" w:rsidP="00745049">
            <w:pPr>
              <w:pStyle w:val="MainText0"/>
              <w:numPr>
                <w:ilvl w:val="0"/>
                <w:numId w:val="1"/>
              </w:numPr>
              <w:rPr>
                <w:rFonts w:eastAsia="新細明體"/>
              </w:rPr>
            </w:pPr>
            <w:r w:rsidRPr="00745049">
              <w:rPr>
                <w:rFonts w:eastAsia="新細明體"/>
              </w:rPr>
              <w:t xml:space="preserve">A high-latitude location with a </w:t>
            </w:r>
            <w:proofErr w:type="gramStart"/>
            <w:r w:rsidRPr="00745049">
              <w:rPr>
                <w:rFonts w:eastAsia="新細明體"/>
              </w:rPr>
              <w:t>short day</w:t>
            </w:r>
            <w:proofErr w:type="gramEnd"/>
            <w:r w:rsidRPr="00745049">
              <w:rPr>
                <w:rFonts w:eastAsia="新細明體"/>
              </w:rPr>
              <w:t xml:space="preserve"> length, not good for solar power</w:t>
            </w:r>
          </w:p>
          <w:p w:rsidR="00650F20" w:rsidRPr="00745049" w:rsidRDefault="00650F20" w:rsidP="00745049">
            <w:pPr>
              <w:pStyle w:val="MainText0"/>
              <w:numPr>
                <w:ilvl w:val="0"/>
                <w:numId w:val="1"/>
              </w:numPr>
              <w:rPr>
                <w:rFonts w:eastAsia="新細明體"/>
              </w:rPr>
            </w:pPr>
            <w:r w:rsidRPr="00745049">
              <w:rPr>
                <w:rFonts w:eastAsia="新細明體"/>
              </w:rPr>
              <w:t>Forest grows densely because there are no strong winds</w:t>
            </w:r>
          </w:p>
          <w:p w:rsidR="00650F20" w:rsidRPr="00745049" w:rsidRDefault="00650F20" w:rsidP="00745049">
            <w:pPr>
              <w:pStyle w:val="MainText0"/>
              <w:numPr>
                <w:ilvl w:val="0"/>
                <w:numId w:val="1"/>
              </w:numPr>
              <w:rPr>
                <w:rFonts w:eastAsia="新細明體"/>
              </w:rPr>
            </w:pPr>
            <w:r w:rsidRPr="00745049">
              <w:rPr>
                <w:rFonts w:eastAsia="新細明體" w:hint="eastAsia"/>
              </w:rPr>
              <w:t>R</w:t>
            </w:r>
            <w:r w:rsidRPr="00745049">
              <w:rPr>
                <w:rFonts w:eastAsia="新細明體"/>
              </w:rPr>
              <w:t>iver is not large enough to develop a hydroelectric generator</w:t>
            </w:r>
          </w:p>
        </w:tc>
        <w:tc>
          <w:tcPr>
            <w:tcW w:w="2232" w:type="dxa"/>
            <w:tcBorders>
              <w:top w:val="nil"/>
              <w:left w:val="nil"/>
              <w:bottom w:val="single" w:sz="4" w:space="0" w:color="auto"/>
              <w:right w:val="nil"/>
            </w:tcBorders>
            <w:shd w:val="clear" w:color="auto" w:fill="auto"/>
          </w:tcPr>
          <w:p w:rsidR="00650F20" w:rsidRPr="00745049" w:rsidRDefault="00650F20" w:rsidP="00745049">
            <w:pPr>
              <w:pStyle w:val="MainText0"/>
              <w:rPr>
                <w:rFonts w:eastAsia="新細明體"/>
              </w:rPr>
            </w:pPr>
          </w:p>
        </w:tc>
      </w:tr>
      <w:tr w:rsidR="00745049" w:rsidRPr="00745049" w:rsidTr="00745049">
        <w:tc>
          <w:tcPr>
            <w:tcW w:w="1630" w:type="dxa"/>
            <w:vMerge w:val="restart"/>
            <w:tcBorders>
              <w:top w:val="single" w:sz="4" w:space="0" w:color="auto"/>
              <w:left w:val="nil"/>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East African Savanna</w:t>
            </w:r>
          </w:p>
        </w:tc>
        <w:tc>
          <w:tcPr>
            <w:tcW w:w="1986"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 xml:space="preserve">Wind power </w:t>
            </w:r>
          </w:p>
        </w:tc>
        <w:tc>
          <w:tcPr>
            <w:tcW w:w="2458"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 xml:space="preserve">Few trees, winds might be strong here </w:t>
            </w:r>
          </w:p>
          <w:p w:rsidR="00650F20" w:rsidRPr="00745049" w:rsidRDefault="00650F20" w:rsidP="00745049">
            <w:pPr>
              <w:pStyle w:val="MainText0"/>
              <w:rPr>
                <w:rFonts w:eastAsia="新細明體"/>
              </w:rPr>
            </w:pPr>
            <w:r w:rsidRPr="00745049">
              <w:rPr>
                <w:rFonts w:eastAsia="新細明體"/>
              </w:rPr>
              <w:t xml:space="preserve">Space between wind power generators could enable animals to move. Solar power panels would become a barrier for animal movement </w:t>
            </w:r>
          </w:p>
        </w:tc>
        <w:tc>
          <w:tcPr>
            <w:tcW w:w="2232" w:type="dxa"/>
            <w:vMerge w:val="restart"/>
            <w:tcBorders>
              <w:top w:val="single" w:sz="4" w:space="0" w:color="auto"/>
              <w:left w:val="nil"/>
              <w:right w:val="nil"/>
            </w:tcBorders>
            <w:shd w:val="clear" w:color="auto" w:fill="auto"/>
            <w:hideMark/>
          </w:tcPr>
          <w:p w:rsidR="00650F20" w:rsidRPr="00745049" w:rsidRDefault="00650F20" w:rsidP="00745049">
            <w:pPr>
              <w:pStyle w:val="MainText0"/>
              <w:rPr>
                <w:rFonts w:eastAsia="新細明體"/>
              </w:rPr>
            </w:pPr>
            <w:r w:rsidRPr="00745049">
              <w:rPr>
                <w:rFonts w:eastAsia="新細明體" w:hint="eastAsia"/>
              </w:rPr>
              <w:t>D</w:t>
            </w:r>
            <w:r w:rsidRPr="00745049">
              <w:rPr>
                <w:rFonts w:eastAsia="新細明體"/>
              </w:rPr>
              <w:t xml:space="preserve">ecided not to develop this area </w:t>
            </w:r>
          </w:p>
          <w:p w:rsidR="00650F20" w:rsidRPr="00745049" w:rsidRDefault="00650F20" w:rsidP="00745049">
            <w:pPr>
              <w:pStyle w:val="MainText0"/>
              <w:rPr>
                <w:rFonts w:eastAsia="新細明體"/>
              </w:rPr>
            </w:pPr>
            <w:r w:rsidRPr="00745049">
              <w:rPr>
                <w:rFonts w:eastAsia="新細明體" w:hint="eastAsia"/>
              </w:rPr>
              <w:t>R</w:t>
            </w:r>
            <w:r w:rsidRPr="00745049">
              <w:rPr>
                <w:rFonts w:eastAsia="新細明體"/>
              </w:rPr>
              <w:t>easons:</w:t>
            </w:r>
          </w:p>
          <w:p w:rsidR="00650F20" w:rsidRPr="00745049" w:rsidRDefault="00650F20" w:rsidP="00745049">
            <w:pPr>
              <w:pStyle w:val="MainText0"/>
              <w:numPr>
                <w:ilvl w:val="0"/>
                <w:numId w:val="3"/>
              </w:numPr>
              <w:rPr>
                <w:rFonts w:eastAsia="新細明體"/>
              </w:rPr>
            </w:pPr>
            <w:r w:rsidRPr="00745049">
              <w:rPr>
                <w:rFonts w:eastAsia="新細明體"/>
              </w:rPr>
              <w:t>Numerous animals living here</w:t>
            </w:r>
          </w:p>
          <w:p w:rsidR="00650F20" w:rsidRPr="00745049" w:rsidRDefault="00650F20" w:rsidP="00745049">
            <w:pPr>
              <w:pStyle w:val="MainText0"/>
              <w:numPr>
                <w:ilvl w:val="0"/>
                <w:numId w:val="3"/>
              </w:numPr>
              <w:rPr>
                <w:rFonts w:eastAsia="新細明體"/>
              </w:rPr>
            </w:pPr>
            <w:r w:rsidRPr="00745049">
              <w:rPr>
                <w:rFonts w:eastAsia="新細明體"/>
              </w:rPr>
              <w:t>Most of the animals are internationally protected species</w:t>
            </w:r>
          </w:p>
          <w:p w:rsidR="00650F20" w:rsidRPr="00745049" w:rsidRDefault="00650F20" w:rsidP="00745049">
            <w:pPr>
              <w:pStyle w:val="MainText0"/>
              <w:numPr>
                <w:ilvl w:val="0"/>
                <w:numId w:val="3"/>
              </w:numPr>
              <w:rPr>
                <w:rFonts w:eastAsia="新細明體"/>
              </w:rPr>
            </w:pPr>
            <w:r w:rsidRPr="00745049">
              <w:rPr>
                <w:rFonts w:eastAsia="新細明體" w:hint="eastAsia"/>
              </w:rPr>
              <w:t>T</w:t>
            </w:r>
            <w:r w:rsidRPr="00745049">
              <w:rPr>
                <w:rFonts w:eastAsia="新細明體"/>
              </w:rPr>
              <w:t xml:space="preserve">he animal populations are </w:t>
            </w:r>
            <w:proofErr w:type="gramStart"/>
            <w:r w:rsidRPr="00745049">
              <w:rPr>
                <w:rFonts w:eastAsia="新細明體"/>
              </w:rPr>
              <w:t>large</w:t>
            </w:r>
            <w:proofErr w:type="gramEnd"/>
            <w:r w:rsidRPr="00745049">
              <w:rPr>
                <w:rFonts w:eastAsia="新細明體"/>
              </w:rPr>
              <w:t xml:space="preserve"> and they need a large area to find food, developing the power facility here would damage their environment</w:t>
            </w:r>
          </w:p>
        </w:tc>
      </w:tr>
      <w:tr w:rsidR="00745049" w:rsidRPr="00745049" w:rsidTr="00745049">
        <w:tc>
          <w:tcPr>
            <w:tcW w:w="1630" w:type="dxa"/>
            <w:vMerge/>
            <w:tcBorders>
              <w:left w:val="nil"/>
              <w:bottom w:val="single" w:sz="4" w:space="0" w:color="auto"/>
              <w:right w:val="nil"/>
            </w:tcBorders>
            <w:shd w:val="clear" w:color="auto" w:fill="auto"/>
          </w:tcPr>
          <w:p w:rsidR="00650F20" w:rsidRPr="00745049" w:rsidRDefault="00650F20" w:rsidP="00745049">
            <w:pPr>
              <w:pStyle w:val="MainText0"/>
              <w:rPr>
                <w:rFonts w:eastAsia="新細明體"/>
              </w:rPr>
            </w:pPr>
          </w:p>
        </w:tc>
        <w:tc>
          <w:tcPr>
            <w:tcW w:w="1986" w:type="dxa"/>
            <w:tcBorders>
              <w:top w:val="single" w:sz="4" w:space="0" w:color="auto"/>
              <w:left w:val="nil"/>
              <w:bottom w:val="single" w:sz="4" w:space="0" w:color="auto"/>
              <w:right w:val="nil"/>
            </w:tcBorders>
            <w:shd w:val="clear" w:color="auto" w:fill="auto"/>
          </w:tcPr>
          <w:p w:rsidR="00650F20" w:rsidRPr="00745049" w:rsidRDefault="00650F20" w:rsidP="00745049">
            <w:pPr>
              <w:pStyle w:val="MainText0"/>
              <w:rPr>
                <w:rFonts w:eastAsia="新細明體"/>
              </w:rPr>
            </w:pPr>
            <w:r w:rsidRPr="00745049">
              <w:rPr>
                <w:rFonts w:eastAsia="新細明體" w:hint="eastAsia"/>
              </w:rPr>
              <w:t>S</w:t>
            </w:r>
            <w:r w:rsidRPr="00745049">
              <w:rPr>
                <w:rFonts w:eastAsia="新細明體"/>
              </w:rPr>
              <w:t>olar photovoltaic</w:t>
            </w:r>
          </w:p>
        </w:tc>
        <w:tc>
          <w:tcPr>
            <w:tcW w:w="2458" w:type="dxa"/>
            <w:tcBorders>
              <w:top w:val="single" w:sz="4" w:space="0" w:color="auto"/>
              <w:left w:val="nil"/>
              <w:bottom w:val="single" w:sz="4" w:space="0" w:color="auto"/>
              <w:right w:val="nil"/>
            </w:tcBorders>
            <w:shd w:val="clear" w:color="auto" w:fill="auto"/>
          </w:tcPr>
          <w:p w:rsidR="00650F20" w:rsidRPr="00745049" w:rsidRDefault="00650F20" w:rsidP="00745049">
            <w:pPr>
              <w:pStyle w:val="MainText0"/>
              <w:rPr>
                <w:rFonts w:eastAsia="新細明體"/>
              </w:rPr>
            </w:pPr>
            <w:r w:rsidRPr="00745049">
              <w:rPr>
                <w:rFonts w:eastAsia="新細明體"/>
              </w:rPr>
              <w:t xml:space="preserve">Not enough trees </w:t>
            </w:r>
            <w:proofErr w:type="spellStart"/>
            <w:r w:rsidRPr="00745049">
              <w:rPr>
                <w:rFonts w:eastAsia="新細明體"/>
              </w:rPr>
              <w:t>andmountains</w:t>
            </w:r>
            <w:proofErr w:type="spellEnd"/>
            <w:r w:rsidRPr="00745049">
              <w:rPr>
                <w:rFonts w:eastAsia="新細明體"/>
              </w:rPr>
              <w:t xml:space="preserve"> to shadow the sun.</w:t>
            </w:r>
          </w:p>
          <w:p w:rsidR="00650F20" w:rsidRPr="00745049" w:rsidRDefault="00650F20" w:rsidP="00745049">
            <w:pPr>
              <w:pStyle w:val="MainText0"/>
              <w:rPr>
                <w:rFonts w:eastAsia="新細明體"/>
              </w:rPr>
            </w:pPr>
            <w:r w:rsidRPr="00745049">
              <w:rPr>
                <w:rFonts w:eastAsia="新細明體"/>
              </w:rPr>
              <w:t>Africa experiences droughts often, so it is a suitable environment for solar power</w:t>
            </w:r>
          </w:p>
        </w:tc>
        <w:tc>
          <w:tcPr>
            <w:tcW w:w="2232" w:type="dxa"/>
            <w:vMerge/>
            <w:tcBorders>
              <w:left w:val="nil"/>
              <w:bottom w:val="single" w:sz="4" w:space="0" w:color="auto"/>
              <w:right w:val="nil"/>
            </w:tcBorders>
            <w:shd w:val="clear" w:color="auto" w:fill="auto"/>
          </w:tcPr>
          <w:p w:rsidR="00650F20" w:rsidRPr="00745049" w:rsidRDefault="00650F20" w:rsidP="00745049">
            <w:pPr>
              <w:pStyle w:val="MainText0"/>
              <w:rPr>
                <w:rFonts w:eastAsia="新細明體"/>
              </w:rPr>
            </w:pPr>
          </w:p>
        </w:tc>
      </w:tr>
      <w:tr w:rsidR="00745049" w:rsidRPr="00745049" w:rsidTr="00745049">
        <w:tc>
          <w:tcPr>
            <w:tcW w:w="1630"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Sonoran Desert</w:t>
            </w:r>
          </w:p>
        </w:tc>
        <w:tc>
          <w:tcPr>
            <w:tcW w:w="1986"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Solar power</w:t>
            </w:r>
          </w:p>
        </w:tc>
        <w:tc>
          <w:tcPr>
            <w:tcW w:w="2458"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Only cactuses thrive here. The sun is intense here</w:t>
            </w:r>
          </w:p>
        </w:tc>
        <w:tc>
          <w:tcPr>
            <w:tcW w:w="2232"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Decided to develop this area</w:t>
            </w:r>
          </w:p>
          <w:p w:rsidR="00650F20" w:rsidRPr="00745049" w:rsidRDefault="00650F20" w:rsidP="00745049">
            <w:pPr>
              <w:pStyle w:val="MainText0"/>
              <w:rPr>
                <w:rFonts w:eastAsia="新細明體"/>
              </w:rPr>
            </w:pPr>
            <w:r w:rsidRPr="00745049">
              <w:rPr>
                <w:rFonts w:eastAsia="新細明體" w:hint="eastAsia"/>
              </w:rPr>
              <w:t>R</w:t>
            </w:r>
            <w:r w:rsidRPr="00745049">
              <w:rPr>
                <w:rFonts w:eastAsia="新細明體"/>
              </w:rPr>
              <w:t>easons:</w:t>
            </w:r>
          </w:p>
          <w:p w:rsidR="00650F20" w:rsidRPr="00745049" w:rsidRDefault="00650F20" w:rsidP="00745049">
            <w:pPr>
              <w:pStyle w:val="MainText0"/>
              <w:numPr>
                <w:ilvl w:val="0"/>
                <w:numId w:val="5"/>
              </w:numPr>
              <w:rPr>
                <w:rFonts w:eastAsia="新細明體"/>
              </w:rPr>
            </w:pPr>
            <w:r w:rsidRPr="00745049">
              <w:rPr>
                <w:rFonts w:eastAsia="新細明體"/>
              </w:rPr>
              <w:t xml:space="preserve">Few animal and plant species </w:t>
            </w:r>
          </w:p>
          <w:p w:rsidR="00650F20" w:rsidRPr="00745049" w:rsidRDefault="00650F20" w:rsidP="00745049">
            <w:pPr>
              <w:pStyle w:val="MainText0"/>
              <w:numPr>
                <w:ilvl w:val="0"/>
                <w:numId w:val="5"/>
              </w:numPr>
              <w:rPr>
                <w:rFonts w:eastAsia="新細明體"/>
              </w:rPr>
            </w:pPr>
            <w:r w:rsidRPr="00745049">
              <w:rPr>
                <w:rFonts w:eastAsia="新細明體" w:hint="eastAsia"/>
              </w:rPr>
              <w:t>S</w:t>
            </w:r>
            <w:r w:rsidRPr="00745049">
              <w:rPr>
                <w:rFonts w:eastAsia="新細明體"/>
              </w:rPr>
              <w:t>olar power panels could provide shelter for animals</w:t>
            </w:r>
          </w:p>
          <w:p w:rsidR="00650F20" w:rsidRPr="00745049" w:rsidRDefault="00650F20" w:rsidP="00745049">
            <w:pPr>
              <w:pStyle w:val="MainText0"/>
              <w:numPr>
                <w:ilvl w:val="0"/>
                <w:numId w:val="5"/>
              </w:numPr>
              <w:rPr>
                <w:rFonts w:eastAsia="新細明體"/>
              </w:rPr>
            </w:pPr>
            <w:r w:rsidRPr="00745049">
              <w:rPr>
                <w:rFonts w:eastAsia="新細明體"/>
              </w:rPr>
              <w:lastRenderedPageBreak/>
              <w:t xml:space="preserve">The power facility would not cause harm here </w:t>
            </w:r>
          </w:p>
        </w:tc>
      </w:tr>
      <w:tr w:rsidR="00745049" w:rsidRPr="00745049" w:rsidTr="00745049">
        <w:tc>
          <w:tcPr>
            <w:tcW w:w="1630"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 xml:space="preserve">Borneo Mangroves </w:t>
            </w:r>
          </w:p>
        </w:tc>
        <w:tc>
          <w:tcPr>
            <w:tcW w:w="1986"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rPr>
              <w:t>Wind power</w:t>
            </w:r>
          </w:p>
        </w:tc>
        <w:tc>
          <w:tcPr>
            <w:tcW w:w="2458"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hint="eastAsia"/>
              </w:rPr>
              <w:t>Co</w:t>
            </w:r>
            <w:r w:rsidRPr="00745049">
              <w:rPr>
                <w:rFonts w:eastAsia="新細明體"/>
              </w:rPr>
              <w:t xml:space="preserve">astlines are windy </w:t>
            </w:r>
          </w:p>
          <w:p w:rsidR="00650F20" w:rsidRPr="00745049" w:rsidRDefault="00650F20" w:rsidP="00745049">
            <w:pPr>
              <w:pStyle w:val="MainText0"/>
              <w:rPr>
                <w:rFonts w:eastAsia="新細明體"/>
              </w:rPr>
            </w:pPr>
            <w:r w:rsidRPr="00745049">
              <w:rPr>
                <w:rFonts w:eastAsia="新細明體" w:hint="eastAsia"/>
              </w:rPr>
              <w:t>T</w:t>
            </w:r>
            <w:r w:rsidRPr="00745049">
              <w:rPr>
                <w:rFonts w:eastAsia="新細明體"/>
              </w:rPr>
              <w:t xml:space="preserve">he mangroves are not very high, the wind might be strong here </w:t>
            </w:r>
          </w:p>
        </w:tc>
        <w:tc>
          <w:tcPr>
            <w:tcW w:w="2232" w:type="dxa"/>
            <w:tcBorders>
              <w:top w:val="single" w:sz="4" w:space="0" w:color="auto"/>
              <w:left w:val="nil"/>
              <w:bottom w:val="single" w:sz="4" w:space="0" w:color="auto"/>
              <w:right w:val="nil"/>
            </w:tcBorders>
            <w:shd w:val="clear" w:color="auto" w:fill="auto"/>
            <w:hideMark/>
          </w:tcPr>
          <w:p w:rsidR="00650F20" w:rsidRPr="00745049" w:rsidRDefault="00650F20" w:rsidP="00745049">
            <w:pPr>
              <w:pStyle w:val="MainText0"/>
              <w:rPr>
                <w:rFonts w:eastAsia="新細明體"/>
              </w:rPr>
            </w:pPr>
            <w:r w:rsidRPr="00745049">
              <w:rPr>
                <w:rFonts w:eastAsia="新細明體" w:hint="eastAsia"/>
              </w:rPr>
              <w:t>D</w:t>
            </w:r>
            <w:r w:rsidRPr="00745049">
              <w:rPr>
                <w:rFonts w:eastAsia="新細明體"/>
              </w:rPr>
              <w:t xml:space="preserve">ecided not to develop this area </w:t>
            </w:r>
          </w:p>
          <w:p w:rsidR="00650F20" w:rsidRPr="00745049" w:rsidRDefault="00650F20" w:rsidP="00745049">
            <w:pPr>
              <w:pStyle w:val="MainText0"/>
              <w:rPr>
                <w:rFonts w:eastAsia="新細明體"/>
              </w:rPr>
            </w:pPr>
            <w:r w:rsidRPr="00745049">
              <w:rPr>
                <w:rFonts w:eastAsia="新細明體" w:hint="eastAsia"/>
              </w:rPr>
              <w:t>R</w:t>
            </w:r>
            <w:r w:rsidRPr="00745049">
              <w:rPr>
                <w:rFonts w:eastAsia="新細明體"/>
              </w:rPr>
              <w:t>easons:</w:t>
            </w:r>
          </w:p>
          <w:p w:rsidR="00650F20" w:rsidRPr="00745049" w:rsidRDefault="00650F20" w:rsidP="00745049">
            <w:pPr>
              <w:pStyle w:val="MainText0"/>
              <w:numPr>
                <w:ilvl w:val="0"/>
                <w:numId w:val="6"/>
              </w:numPr>
              <w:rPr>
                <w:rFonts w:eastAsia="新細明體"/>
              </w:rPr>
            </w:pPr>
            <w:r w:rsidRPr="00745049">
              <w:rPr>
                <w:rFonts w:eastAsia="新細明體"/>
              </w:rPr>
              <w:t xml:space="preserve">A wind power facility would disrupt waterfowls </w:t>
            </w:r>
          </w:p>
          <w:p w:rsidR="00650F20" w:rsidRPr="00745049" w:rsidRDefault="00650F20" w:rsidP="00745049">
            <w:pPr>
              <w:pStyle w:val="MainText0"/>
              <w:numPr>
                <w:ilvl w:val="0"/>
                <w:numId w:val="6"/>
              </w:numPr>
              <w:rPr>
                <w:rFonts w:eastAsia="新細明體"/>
              </w:rPr>
            </w:pPr>
            <w:r w:rsidRPr="00745049">
              <w:rPr>
                <w:rFonts w:eastAsia="新細明體"/>
              </w:rPr>
              <w:t xml:space="preserve">Many mangroves would need to be removed, and mangroves are a protected species </w:t>
            </w:r>
          </w:p>
        </w:tc>
        <w:bookmarkEnd w:id="0"/>
      </w:tr>
    </w:tbl>
    <w:p w:rsidR="00650F20" w:rsidRPr="00745049" w:rsidRDefault="00650F20" w:rsidP="00624C06">
      <w:pPr>
        <w:pStyle w:val="MainText0"/>
        <w:rPr>
          <w:rFonts w:eastAsia="新細明體"/>
          <w:sz w:val="24"/>
          <w:szCs w:val="24"/>
        </w:rPr>
      </w:pPr>
    </w:p>
    <w:p w:rsidR="00650F20" w:rsidRPr="00745049" w:rsidRDefault="00650F20" w:rsidP="00624C06">
      <w:pPr>
        <w:pStyle w:val="MainText0"/>
        <w:rPr>
          <w:rFonts w:eastAsia="新細明體"/>
          <w:b/>
          <w:sz w:val="24"/>
          <w:szCs w:val="24"/>
        </w:rPr>
      </w:pPr>
      <w:r w:rsidRPr="00745049">
        <w:rPr>
          <w:rFonts w:eastAsia="新細明體" w:hint="eastAsia"/>
          <w:b/>
          <w:sz w:val="24"/>
          <w:szCs w:val="24"/>
        </w:rPr>
        <w:t>D</w:t>
      </w:r>
      <w:r w:rsidRPr="00745049">
        <w:rPr>
          <w:rFonts w:eastAsia="新細明體"/>
          <w:b/>
          <w:sz w:val="24"/>
          <w:szCs w:val="24"/>
        </w:rPr>
        <w:t>iscussion</w:t>
      </w:r>
    </w:p>
    <w:p w:rsidR="00650F20" w:rsidRPr="00745049" w:rsidRDefault="00650F20" w:rsidP="00650F20">
      <w:pPr>
        <w:pStyle w:val="MainText0"/>
        <w:rPr>
          <w:rFonts w:eastAsia="新細明體"/>
          <w:sz w:val="24"/>
          <w:szCs w:val="24"/>
        </w:rPr>
      </w:pPr>
      <w:r w:rsidRPr="00745049">
        <w:rPr>
          <w:rFonts w:eastAsia="新細明體"/>
          <w:sz w:val="24"/>
          <w:szCs w:val="24"/>
        </w:rPr>
        <w:t xml:space="preserve">The participants in this study were aware that alternative power facilities do not protect the environment. The students accepted the high scaffolding task </w:t>
      </w:r>
      <w:r w:rsidR="00E13E40" w:rsidRPr="00745049">
        <w:rPr>
          <w:rFonts w:eastAsia="新細明體"/>
          <w:sz w:val="24"/>
          <w:szCs w:val="24"/>
        </w:rPr>
        <w:t>without negative emotion</w:t>
      </w:r>
      <w:r w:rsidRPr="00745049">
        <w:rPr>
          <w:rFonts w:eastAsia="新細明體"/>
          <w:sz w:val="24"/>
          <w:szCs w:val="24"/>
        </w:rPr>
        <w:t xml:space="preserve">. </w:t>
      </w:r>
      <w:r w:rsidR="00E13E40" w:rsidRPr="00745049">
        <w:rPr>
          <w:rFonts w:eastAsia="新細明體"/>
          <w:sz w:val="24"/>
          <w:szCs w:val="24"/>
        </w:rPr>
        <w:t>The program</w:t>
      </w:r>
      <w:r w:rsidRPr="00745049">
        <w:rPr>
          <w:rFonts w:eastAsia="新細明體"/>
          <w:sz w:val="24"/>
          <w:szCs w:val="24"/>
        </w:rPr>
        <w:t xml:space="preserve"> </w:t>
      </w:r>
      <w:r w:rsidR="00E13E40" w:rsidRPr="00745049">
        <w:rPr>
          <w:rFonts w:eastAsia="新細明體"/>
          <w:sz w:val="24"/>
          <w:szCs w:val="24"/>
        </w:rPr>
        <w:t>show that students</w:t>
      </w:r>
      <w:r w:rsidRPr="00745049">
        <w:rPr>
          <w:rFonts w:eastAsia="新細明體"/>
          <w:sz w:val="24"/>
          <w:szCs w:val="24"/>
        </w:rPr>
        <w:t xml:space="preserve"> respond</w:t>
      </w:r>
      <w:r w:rsidR="00E13E40" w:rsidRPr="00745049">
        <w:rPr>
          <w:rFonts w:eastAsia="新細明體"/>
          <w:sz w:val="24"/>
          <w:szCs w:val="24"/>
        </w:rPr>
        <w:t>ed by</w:t>
      </w:r>
      <w:r w:rsidRPr="00745049">
        <w:rPr>
          <w:rFonts w:eastAsia="新細明體"/>
          <w:sz w:val="24"/>
          <w:szCs w:val="24"/>
        </w:rPr>
        <w:t xml:space="preserve"> discursive logical reasoning or misconceptions. </w:t>
      </w:r>
      <w:r w:rsidR="00E13E40" w:rsidRPr="00745049">
        <w:rPr>
          <w:rFonts w:eastAsia="新細明體"/>
          <w:sz w:val="24"/>
          <w:szCs w:val="24"/>
        </w:rPr>
        <w:t xml:space="preserve">If the educator corrected </w:t>
      </w:r>
      <w:r w:rsidR="00352BA7" w:rsidRPr="00745049">
        <w:rPr>
          <w:rFonts w:eastAsia="新細明體"/>
          <w:sz w:val="24"/>
          <w:szCs w:val="24"/>
        </w:rPr>
        <w:t>these mistakes</w:t>
      </w:r>
      <w:r w:rsidR="00E13E40" w:rsidRPr="00745049">
        <w:rPr>
          <w:rFonts w:eastAsia="新細明體"/>
          <w:sz w:val="24"/>
          <w:szCs w:val="24"/>
        </w:rPr>
        <w:t xml:space="preserve"> immediately</w:t>
      </w:r>
      <w:r w:rsidR="00352BA7" w:rsidRPr="00745049">
        <w:rPr>
          <w:rFonts w:eastAsia="新細明體"/>
          <w:sz w:val="24"/>
          <w:szCs w:val="24"/>
        </w:rPr>
        <w:t xml:space="preserve"> might make students focus on right/wrong </w:t>
      </w:r>
      <w:proofErr w:type="gramStart"/>
      <w:r w:rsidR="00352BA7" w:rsidRPr="00745049">
        <w:rPr>
          <w:rFonts w:eastAsia="新細明體"/>
          <w:sz w:val="24"/>
          <w:szCs w:val="24"/>
        </w:rPr>
        <w:t>answer</w:t>
      </w:r>
      <w:proofErr w:type="gramEnd"/>
      <w:r w:rsidR="00352BA7" w:rsidRPr="00745049">
        <w:rPr>
          <w:rFonts w:eastAsia="新細明體"/>
          <w:sz w:val="24"/>
          <w:szCs w:val="24"/>
        </w:rPr>
        <w:t xml:space="preserve"> then making their own reasoning.</w:t>
      </w:r>
    </w:p>
    <w:p w:rsidR="00650F20" w:rsidRPr="00745049" w:rsidRDefault="00650F20" w:rsidP="00650F20">
      <w:pPr>
        <w:pStyle w:val="MainText0"/>
        <w:rPr>
          <w:rFonts w:eastAsia="新細明體" w:hint="eastAsia"/>
          <w:sz w:val="24"/>
          <w:szCs w:val="24"/>
        </w:rPr>
      </w:pPr>
      <w:r w:rsidRPr="00745049">
        <w:rPr>
          <w:rFonts w:eastAsia="新細明體" w:hint="eastAsia"/>
          <w:sz w:val="24"/>
          <w:szCs w:val="24"/>
        </w:rPr>
        <w:t>I</w:t>
      </w:r>
      <w:r w:rsidRPr="00745049">
        <w:rPr>
          <w:rFonts w:eastAsia="新細明體"/>
          <w:sz w:val="24"/>
          <w:szCs w:val="24"/>
        </w:rPr>
        <w:t xml:space="preserve">n the education program, the information that supported the students’ reasoning and decisions came from the </w:t>
      </w:r>
      <w:r w:rsidR="00E13E40" w:rsidRPr="00745049">
        <w:rPr>
          <w:rFonts w:eastAsia="新細明體"/>
          <w:sz w:val="24"/>
          <w:szCs w:val="24"/>
        </w:rPr>
        <w:t xml:space="preserve">diorama inquiry. This inquiry with their preconceptions for the relationship between climate and landscapes. The program could make students aware the tension between alternative power facility and environmental protection. </w:t>
      </w:r>
      <w:r w:rsidR="00352BA7" w:rsidRPr="00745049">
        <w:rPr>
          <w:rFonts w:eastAsia="新細明體"/>
          <w:sz w:val="24"/>
          <w:szCs w:val="24"/>
        </w:rPr>
        <w:t>But the researcher can not predict this perceive would be good for environmental education or not.</w:t>
      </w:r>
      <w:bookmarkStart w:id="1" w:name="_GoBack"/>
      <w:bookmarkEnd w:id="1"/>
    </w:p>
    <w:p w:rsidR="00650F20" w:rsidRPr="00745049" w:rsidRDefault="00650F20" w:rsidP="00624C06">
      <w:pPr>
        <w:pStyle w:val="MainText0"/>
        <w:rPr>
          <w:rFonts w:eastAsia="新細明體" w:hint="eastAsia"/>
          <w:sz w:val="24"/>
          <w:szCs w:val="24"/>
        </w:rPr>
      </w:pPr>
    </w:p>
    <w:p w:rsidR="002C2BE7" w:rsidRPr="006D0E3E" w:rsidRDefault="002C2BE7" w:rsidP="006D0E3E">
      <w:pPr>
        <w:pStyle w:val="HeadingFirstLevel"/>
        <w:spacing w:line="240" w:lineRule="auto"/>
        <w:rPr>
          <w:rFonts w:eastAsia="新細明體"/>
        </w:rPr>
      </w:pPr>
      <w:r w:rsidRPr="006D0E3E">
        <w:t>References</w:t>
      </w:r>
      <w:r w:rsidR="002B0FBA" w:rsidRPr="006D0E3E">
        <w:rPr>
          <w:rFonts w:eastAsia="新細明體" w:hint="eastAsia"/>
        </w:rPr>
        <w:t xml:space="preserve"> (Please refer to APA </w:t>
      </w:r>
      <w:r w:rsidR="003C75CE" w:rsidRPr="006D0E3E">
        <w:t>6</w:t>
      </w:r>
      <w:r w:rsidR="003C75CE" w:rsidRPr="006D0E3E">
        <w:rPr>
          <w:vertAlign w:val="superscript"/>
        </w:rPr>
        <w:t>th</w:t>
      </w:r>
      <w:r w:rsidR="003C75CE" w:rsidRPr="006D0E3E">
        <w:t xml:space="preserve"> edition</w:t>
      </w:r>
      <w:r w:rsidR="003C75CE" w:rsidRPr="006D0E3E">
        <w:rPr>
          <w:rFonts w:eastAsia="新細明體" w:hint="eastAsia"/>
        </w:rPr>
        <w:t xml:space="preserve"> </w:t>
      </w:r>
      <w:r w:rsidR="002B0FBA" w:rsidRPr="006D0E3E">
        <w:rPr>
          <w:rFonts w:eastAsia="新細明體" w:hint="eastAsia"/>
        </w:rPr>
        <w:t>format)</w:t>
      </w:r>
    </w:p>
    <w:p w:rsidR="001E5D42" w:rsidRPr="001E5D42" w:rsidRDefault="001E5D42" w:rsidP="001E5D42">
      <w:pPr>
        <w:pStyle w:val="Reference0"/>
        <w:jc w:val="both"/>
        <w:rPr>
          <w:sz w:val="24"/>
          <w:szCs w:val="24"/>
        </w:rPr>
      </w:pPr>
      <w:r w:rsidRPr="001E5D42">
        <w:rPr>
          <w:sz w:val="24"/>
          <w:szCs w:val="24"/>
        </w:rPr>
        <w:t>Abu-</w:t>
      </w:r>
      <w:proofErr w:type="spellStart"/>
      <w:r w:rsidRPr="001E5D42">
        <w:rPr>
          <w:sz w:val="24"/>
          <w:szCs w:val="24"/>
        </w:rPr>
        <w:t>Shumays</w:t>
      </w:r>
      <w:proofErr w:type="spellEnd"/>
      <w:r w:rsidRPr="001E5D42">
        <w:rPr>
          <w:sz w:val="24"/>
          <w:szCs w:val="24"/>
        </w:rPr>
        <w:t xml:space="preserve">, M., &amp; </w:t>
      </w:r>
      <w:proofErr w:type="spellStart"/>
      <w:r w:rsidRPr="001E5D42">
        <w:rPr>
          <w:sz w:val="24"/>
          <w:szCs w:val="24"/>
        </w:rPr>
        <w:t>Leinhardt</w:t>
      </w:r>
      <w:proofErr w:type="spellEnd"/>
      <w:r w:rsidRPr="001E5D42">
        <w:rPr>
          <w:sz w:val="24"/>
          <w:szCs w:val="24"/>
        </w:rPr>
        <w:t xml:space="preserve">, G. (2002). Two docents in three museums: Central and peripheral participation. In G. </w:t>
      </w:r>
      <w:proofErr w:type="spellStart"/>
      <w:r w:rsidRPr="001E5D42">
        <w:rPr>
          <w:sz w:val="24"/>
          <w:szCs w:val="24"/>
        </w:rPr>
        <w:t>Leinhardt</w:t>
      </w:r>
      <w:proofErr w:type="spellEnd"/>
      <w:r w:rsidRPr="001E5D42">
        <w:rPr>
          <w:sz w:val="24"/>
          <w:szCs w:val="24"/>
        </w:rPr>
        <w:t>, K. Crowley, &amp; K. Knutson (Eds.), Learning conversations in museums (pp. 45 – 80). Mahwah, NJ: Erlbaum.</w:t>
      </w:r>
    </w:p>
    <w:p w:rsidR="001E5D42" w:rsidRPr="001E5D42" w:rsidRDefault="001E5D42" w:rsidP="001E5D42">
      <w:pPr>
        <w:pStyle w:val="Reference0"/>
        <w:jc w:val="both"/>
        <w:rPr>
          <w:sz w:val="24"/>
          <w:szCs w:val="24"/>
        </w:rPr>
      </w:pPr>
      <w:proofErr w:type="spellStart"/>
      <w:r w:rsidRPr="001E5D42">
        <w:rPr>
          <w:sz w:val="24"/>
          <w:szCs w:val="24"/>
        </w:rPr>
        <w:t>Banchi</w:t>
      </w:r>
      <w:proofErr w:type="spellEnd"/>
      <w:r w:rsidRPr="001E5D42">
        <w:rPr>
          <w:sz w:val="24"/>
          <w:szCs w:val="24"/>
        </w:rPr>
        <w:t>, H., &amp; Bell, R. (2008). The many levels of inquiry. Science and Children, 46, 26–22.</w:t>
      </w:r>
    </w:p>
    <w:p w:rsidR="001E5D42" w:rsidRPr="001E5D42" w:rsidRDefault="001E5D42" w:rsidP="001E5D42">
      <w:pPr>
        <w:pStyle w:val="Reference0"/>
        <w:jc w:val="both"/>
        <w:rPr>
          <w:sz w:val="24"/>
          <w:szCs w:val="24"/>
        </w:rPr>
      </w:pPr>
      <w:r w:rsidRPr="001E5D42">
        <w:rPr>
          <w:sz w:val="24"/>
          <w:szCs w:val="24"/>
        </w:rPr>
        <w:t>Bruner, J.S. (1961). The act of discovery. Harvard Educational Review, 31, 21–32.</w:t>
      </w:r>
    </w:p>
    <w:p w:rsidR="001E5D42" w:rsidRPr="001E5D42" w:rsidRDefault="001E5D42" w:rsidP="001E5D42">
      <w:pPr>
        <w:pStyle w:val="Reference0"/>
        <w:jc w:val="both"/>
        <w:rPr>
          <w:sz w:val="24"/>
          <w:szCs w:val="24"/>
        </w:rPr>
      </w:pPr>
      <w:r w:rsidRPr="001E5D42">
        <w:rPr>
          <w:sz w:val="24"/>
          <w:szCs w:val="24"/>
        </w:rPr>
        <w:t xml:space="preserve">Chiu, M., Yeh, H. &amp; Spangler, J. (2016) Public Constructs of Energy Values and Behaviors in Implementing Taiwan's ‘Energy-Conservation/Carbon Reduction’ Declarations, International Journal of Science Education, Part B, 6:1, 46-67, doi:10.1080/21548455.2014.969357 </w:t>
      </w:r>
    </w:p>
    <w:p w:rsidR="001E5D42" w:rsidRPr="001E5D42" w:rsidRDefault="001E5D42" w:rsidP="001E5D42">
      <w:pPr>
        <w:pStyle w:val="Reference0"/>
        <w:jc w:val="both"/>
        <w:rPr>
          <w:sz w:val="24"/>
          <w:szCs w:val="24"/>
        </w:rPr>
      </w:pPr>
      <w:r w:rsidRPr="001E5D42">
        <w:rPr>
          <w:sz w:val="24"/>
          <w:szCs w:val="24"/>
        </w:rPr>
        <w:t xml:space="preserve">Collins, A., Brown, J. </w:t>
      </w:r>
      <w:proofErr w:type="spellStart"/>
      <w:proofErr w:type="gramStart"/>
      <w:r w:rsidRPr="001E5D42">
        <w:rPr>
          <w:sz w:val="24"/>
          <w:szCs w:val="24"/>
        </w:rPr>
        <w:t>S.,&amp;</w:t>
      </w:r>
      <w:proofErr w:type="gramEnd"/>
      <w:r w:rsidRPr="001E5D42">
        <w:rPr>
          <w:sz w:val="24"/>
          <w:szCs w:val="24"/>
        </w:rPr>
        <w:t>Newman</w:t>
      </w:r>
      <w:proofErr w:type="spellEnd"/>
      <w:r w:rsidRPr="001E5D42">
        <w:rPr>
          <w:sz w:val="24"/>
          <w:szCs w:val="24"/>
        </w:rPr>
        <w:t>, S. E. (1989). Cognitive apprenticeship: Teaching the crafts of reading, writing, and mathematics. In L. B. Resnick (Ed.), Knowing, learning, and instruction: Essays in honor of Robert Glaser (pp. 453–494). Hillsdale, NJ: Erlbaum.</w:t>
      </w:r>
    </w:p>
    <w:p w:rsidR="001E5D42" w:rsidRPr="001E5D42" w:rsidRDefault="001E5D42" w:rsidP="001E5D42">
      <w:pPr>
        <w:pStyle w:val="Reference0"/>
        <w:jc w:val="both"/>
        <w:rPr>
          <w:sz w:val="24"/>
          <w:szCs w:val="24"/>
        </w:rPr>
      </w:pPr>
      <w:r w:rsidRPr="001E5D42">
        <w:rPr>
          <w:sz w:val="24"/>
          <w:szCs w:val="24"/>
        </w:rPr>
        <w:t xml:space="preserve">Cox-Petersen, A. M., Marsh, D.D., </w:t>
      </w:r>
      <w:proofErr w:type="spellStart"/>
      <w:r w:rsidRPr="001E5D42">
        <w:rPr>
          <w:sz w:val="24"/>
          <w:szCs w:val="24"/>
        </w:rPr>
        <w:t>Kisiel</w:t>
      </w:r>
      <w:proofErr w:type="spellEnd"/>
      <w:r w:rsidRPr="001E5D42">
        <w:rPr>
          <w:sz w:val="24"/>
          <w:szCs w:val="24"/>
        </w:rPr>
        <w:t xml:space="preserve">, J., &amp; </w:t>
      </w:r>
      <w:proofErr w:type="spellStart"/>
      <w:r w:rsidRPr="001E5D42">
        <w:rPr>
          <w:sz w:val="24"/>
          <w:szCs w:val="24"/>
        </w:rPr>
        <w:t>Melber</w:t>
      </w:r>
      <w:proofErr w:type="spellEnd"/>
      <w:r w:rsidRPr="001E5D42">
        <w:rPr>
          <w:sz w:val="24"/>
          <w:szCs w:val="24"/>
        </w:rPr>
        <w:t>, L. M. (2003). Investigation of guided school tours, student learning, and science reform recommendations at a museum of natural history. Journal of Research in Science Teaching, 40(2), 200-218.</w:t>
      </w:r>
    </w:p>
    <w:p w:rsidR="001E5D42" w:rsidRPr="001E5D42" w:rsidRDefault="001E5D42" w:rsidP="001E5D42">
      <w:pPr>
        <w:pStyle w:val="Reference0"/>
        <w:jc w:val="both"/>
        <w:rPr>
          <w:sz w:val="24"/>
          <w:szCs w:val="24"/>
        </w:rPr>
      </w:pPr>
      <w:r w:rsidRPr="001E5D42">
        <w:rPr>
          <w:sz w:val="24"/>
          <w:szCs w:val="24"/>
        </w:rPr>
        <w:lastRenderedPageBreak/>
        <w:t>Davidson, S. K., Passmore, C., &amp; Anderson, D. (2010). Learning on zoo field trips: the interaction of the agendas and practices of students, teachers and zoo educators. Science Education, 94(1), 122-141.</w:t>
      </w:r>
    </w:p>
    <w:p w:rsidR="001E5D42" w:rsidRPr="001E5D42" w:rsidRDefault="001E5D42" w:rsidP="001E5D42">
      <w:pPr>
        <w:pStyle w:val="Reference0"/>
        <w:jc w:val="both"/>
        <w:rPr>
          <w:sz w:val="24"/>
          <w:szCs w:val="24"/>
        </w:rPr>
      </w:pPr>
      <w:r w:rsidRPr="001E5D42">
        <w:rPr>
          <w:sz w:val="24"/>
          <w:szCs w:val="24"/>
        </w:rPr>
        <w:t>Davis, E. A., &amp; Linn, M. C. (2000). Scaffolding students’ knowledge integration: Prompts for reflection in KIE. International Journal of Science Education, 22, 819–837.</w:t>
      </w:r>
    </w:p>
    <w:p w:rsidR="001E5D42" w:rsidRPr="001E5D42" w:rsidRDefault="001E5D42" w:rsidP="001E5D42">
      <w:pPr>
        <w:pStyle w:val="Reference0"/>
        <w:jc w:val="both"/>
        <w:rPr>
          <w:sz w:val="24"/>
          <w:szCs w:val="24"/>
        </w:rPr>
      </w:pPr>
      <w:proofErr w:type="spellStart"/>
      <w:r w:rsidRPr="001E5D42">
        <w:rPr>
          <w:sz w:val="24"/>
          <w:szCs w:val="24"/>
        </w:rPr>
        <w:t>Erduran</w:t>
      </w:r>
      <w:proofErr w:type="spellEnd"/>
      <w:r w:rsidRPr="001E5D42">
        <w:rPr>
          <w:sz w:val="24"/>
          <w:szCs w:val="24"/>
        </w:rPr>
        <w:t xml:space="preserve">, S., &amp; </w:t>
      </w:r>
      <w:proofErr w:type="spellStart"/>
      <w:r w:rsidRPr="001E5D42">
        <w:rPr>
          <w:sz w:val="24"/>
          <w:szCs w:val="24"/>
        </w:rPr>
        <w:t>Dagher</w:t>
      </w:r>
      <w:proofErr w:type="spellEnd"/>
      <w:r w:rsidRPr="001E5D42">
        <w:rPr>
          <w:sz w:val="24"/>
          <w:szCs w:val="24"/>
        </w:rPr>
        <w:t>, Z. R. (2014). Reconceptualizing the Nature of Science for Science Education, Contemporary Trends and Issues in Science Education 43, London: Springer. DOI 10.1007/978-94-017-9057-4_4.</w:t>
      </w:r>
    </w:p>
    <w:p w:rsidR="001E5D42" w:rsidRPr="001E5D42" w:rsidRDefault="001E5D42" w:rsidP="001E5D42">
      <w:pPr>
        <w:pStyle w:val="Reference0"/>
        <w:jc w:val="both"/>
        <w:rPr>
          <w:sz w:val="24"/>
          <w:szCs w:val="24"/>
        </w:rPr>
      </w:pPr>
      <w:r w:rsidRPr="001E5D42">
        <w:rPr>
          <w:sz w:val="24"/>
          <w:szCs w:val="24"/>
        </w:rPr>
        <w:t xml:space="preserve">Falk, J. H., &amp; Dierking, L. M. (2000). Learning from museums: Visitor experiences and the making of meaning. Lanham, MD: </w:t>
      </w:r>
      <w:proofErr w:type="spellStart"/>
      <w:r w:rsidRPr="001E5D42">
        <w:rPr>
          <w:sz w:val="24"/>
          <w:szCs w:val="24"/>
        </w:rPr>
        <w:t>AltaMira</w:t>
      </w:r>
      <w:proofErr w:type="spellEnd"/>
      <w:r w:rsidRPr="001E5D42">
        <w:rPr>
          <w:sz w:val="24"/>
          <w:szCs w:val="24"/>
        </w:rPr>
        <w:t xml:space="preserve"> Press.</w:t>
      </w:r>
    </w:p>
    <w:p w:rsidR="001E5D42" w:rsidRPr="001E5D42" w:rsidRDefault="001E5D42" w:rsidP="001E5D42">
      <w:pPr>
        <w:pStyle w:val="Reference0"/>
        <w:jc w:val="both"/>
        <w:rPr>
          <w:sz w:val="24"/>
          <w:szCs w:val="24"/>
        </w:rPr>
      </w:pPr>
      <w:proofErr w:type="spellStart"/>
      <w:r w:rsidRPr="001E5D42">
        <w:rPr>
          <w:sz w:val="24"/>
          <w:szCs w:val="24"/>
        </w:rPr>
        <w:t>Gutwill</w:t>
      </w:r>
      <w:proofErr w:type="spellEnd"/>
      <w:r w:rsidRPr="001E5D42">
        <w:rPr>
          <w:sz w:val="24"/>
          <w:szCs w:val="24"/>
        </w:rPr>
        <w:t>, J. P. &amp; Allen, S. (2010). Group inquiry at science museum exhibits. CA: Exploratorium.</w:t>
      </w:r>
    </w:p>
    <w:p w:rsidR="001E5D42" w:rsidRPr="001E5D42" w:rsidRDefault="001E5D42" w:rsidP="001E5D42">
      <w:pPr>
        <w:pStyle w:val="Reference0"/>
        <w:jc w:val="both"/>
        <w:rPr>
          <w:sz w:val="24"/>
          <w:szCs w:val="24"/>
        </w:rPr>
      </w:pPr>
      <w:r w:rsidRPr="001E5D42">
        <w:rPr>
          <w:sz w:val="24"/>
          <w:szCs w:val="24"/>
        </w:rPr>
        <w:t>Han, M. S., Phillips, B. C., Evans, E. M., Block, F., Diamond, J. &amp; Shen, C. (2016). Visualizing biological data in museums: visitor learning with an interactive tree of life exhibit. Journal of Research in Science Teaching, 53, 895-918.</w:t>
      </w:r>
    </w:p>
    <w:p w:rsidR="001E5D42" w:rsidRPr="001E5D42" w:rsidRDefault="001E5D42" w:rsidP="001E5D42">
      <w:pPr>
        <w:pStyle w:val="Reference0"/>
        <w:jc w:val="both"/>
        <w:rPr>
          <w:sz w:val="24"/>
          <w:szCs w:val="24"/>
        </w:rPr>
      </w:pPr>
      <w:proofErr w:type="spellStart"/>
      <w:r w:rsidRPr="001E5D42">
        <w:rPr>
          <w:sz w:val="24"/>
          <w:szCs w:val="24"/>
        </w:rPr>
        <w:t>Hmelo</w:t>
      </w:r>
      <w:proofErr w:type="spellEnd"/>
      <w:r w:rsidRPr="001E5D42">
        <w:rPr>
          <w:sz w:val="24"/>
          <w:szCs w:val="24"/>
        </w:rPr>
        <w:t xml:space="preserve">-Silver, C. E., &amp; Barrows, H. S. (2006). Goals and strategies of a problem-based learning facilitator. Interdisciplinary Journal of </w:t>
      </w:r>
      <w:proofErr w:type="spellStart"/>
      <w:r w:rsidRPr="001E5D42">
        <w:rPr>
          <w:sz w:val="24"/>
          <w:szCs w:val="24"/>
        </w:rPr>
        <w:t>Problembased</w:t>
      </w:r>
      <w:proofErr w:type="spellEnd"/>
      <w:r w:rsidRPr="001E5D42">
        <w:rPr>
          <w:sz w:val="24"/>
          <w:szCs w:val="24"/>
        </w:rPr>
        <w:t xml:space="preserve"> Learning, 1, 21–39.</w:t>
      </w:r>
    </w:p>
    <w:p w:rsidR="001E5D42" w:rsidRPr="001E5D42" w:rsidRDefault="001E5D42" w:rsidP="001E5D42">
      <w:pPr>
        <w:pStyle w:val="Reference0"/>
        <w:jc w:val="both"/>
        <w:rPr>
          <w:sz w:val="24"/>
          <w:szCs w:val="24"/>
        </w:rPr>
      </w:pPr>
      <w:proofErr w:type="spellStart"/>
      <w:r w:rsidRPr="001E5D42">
        <w:rPr>
          <w:sz w:val="24"/>
          <w:szCs w:val="24"/>
        </w:rPr>
        <w:t>Hmelo</w:t>
      </w:r>
      <w:proofErr w:type="spellEnd"/>
      <w:r w:rsidRPr="001E5D42">
        <w:rPr>
          <w:sz w:val="24"/>
          <w:szCs w:val="24"/>
        </w:rPr>
        <w:t>-Silver, C.E. (2004). Problem-based learning: What and how do students learn. Educational Psychology Review, 16, 235–266.</w:t>
      </w:r>
    </w:p>
    <w:p w:rsidR="001E5D42" w:rsidRPr="001E5D42" w:rsidRDefault="001E5D42" w:rsidP="001E5D42">
      <w:pPr>
        <w:pStyle w:val="Reference0"/>
        <w:jc w:val="both"/>
        <w:rPr>
          <w:sz w:val="24"/>
          <w:szCs w:val="24"/>
        </w:rPr>
      </w:pPr>
      <w:r w:rsidRPr="001E5D42">
        <w:rPr>
          <w:sz w:val="24"/>
          <w:szCs w:val="24"/>
        </w:rPr>
        <w:t xml:space="preserve">Jackson, S., Stratford, S. J., </w:t>
      </w:r>
      <w:proofErr w:type="spellStart"/>
      <w:r w:rsidRPr="001E5D42">
        <w:rPr>
          <w:sz w:val="24"/>
          <w:szCs w:val="24"/>
        </w:rPr>
        <w:t>Krajcik</w:t>
      </w:r>
      <w:proofErr w:type="spellEnd"/>
      <w:r w:rsidRPr="001E5D42">
        <w:rPr>
          <w:sz w:val="24"/>
          <w:szCs w:val="24"/>
        </w:rPr>
        <w:t>, J. S., &amp; Soloway, E. (1996). Making system dynamics modeling accessible to pre-college science students. Interactive Learning Environments, 4, 233–257.</w:t>
      </w:r>
    </w:p>
    <w:p w:rsidR="001E5D42" w:rsidRPr="001E5D42" w:rsidRDefault="001E5D42" w:rsidP="001E5D42">
      <w:pPr>
        <w:pStyle w:val="Reference0"/>
        <w:jc w:val="both"/>
        <w:rPr>
          <w:sz w:val="24"/>
          <w:szCs w:val="24"/>
        </w:rPr>
      </w:pPr>
      <w:r w:rsidRPr="001E5D42">
        <w:rPr>
          <w:sz w:val="24"/>
          <w:szCs w:val="24"/>
        </w:rPr>
        <w:t>Jarvis, T., &amp; Pell, A. (2005). Factors influencing elementary school children’s attitudes toward science before, during and after a visit to the UK National Space Centre. Journal of Research in Science Teaching, 42(1), 53-83. Journal of Science Communication, 7(4). Retrieved from http://jcom.sissa.it/archive/07/ 04/Jcom0704%282008%29C01/Jcom0704%282008%29C02/Jcom0704%282008%29C02.pdf</w:t>
      </w:r>
    </w:p>
    <w:p w:rsidR="001E5D42" w:rsidRPr="001E5D42" w:rsidRDefault="001E5D42" w:rsidP="001E5D42">
      <w:pPr>
        <w:pStyle w:val="Reference0"/>
        <w:jc w:val="both"/>
        <w:rPr>
          <w:sz w:val="24"/>
          <w:szCs w:val="24"/>
        </w:rPr>
      </w:pPr>
      <w:proofErr w:type="spellStart"/>
      <w:r w:rsidRPr="001E5D42">
        <w:rPr>
          <w:sz w:val="24"/>
          <w:szCs w:val="24"/>
        </w:rPr>
        <w:t>Kisiel</w:t>
      </w:r>
      <w:proofErr w:type="spellEnd"/>
      <w:r w:rsidRPr="001E5D42">
        <w:rPr>
          <w:sz w:val="24"/>
          <w:szCs w:val="24"/>
        </w:rPr>
        <w:t>, J. F. (2010). Exploring a school-aquarium collaboration: An intersection of communities of practice. Science Education, 94(1), 95-121.</w:t>
      </w:r>
    </w:p>
    <w:p w:rsidR="001E5D42" w:rsidRPr="001E5D42" w:rsidRDefault="001E5D42" w:rsidP="001E5D42">
      <w:pPr>
        <w:pStyle w:val="Reference0"/>
        <w:jc w:val="both"/>
        <w:rPr>
          <w:sz w:val="24"/>
          <w:szCs w:val="24"/>
        </w:rPr>
      </w:pPr>
      <w:proofErr w:type="spellStart"/>
      <w:r w:rsidRPr="001E5D42">
        <w:rPr>
          <w:sz w:val="24"/>
          <w:szCs w:val="24"/>
        </w:rPr>
        <w:t>Leinhardt</w:t>
      </w:r>
      <w:proofErr w:type="spellEnd"/>
      <w:r w:rsidRPr="001E5D42">
        <w:rPr>
          <w:sz w:val="24"/>
          <w:szCs w:val="24"/>
        </w:rPr>
        <w:t>, G., &amp; Karen, K. (2004). Listening in on museum conversations. Oxford: Altamira press.</w:t>
      </w:r>
    </w:p>
    <w:p w:rsidR="001E5D42" w:rsidRPr="001E5D42" w:rsidRDefault="001E5D42" w:rsidP="001E5D42">
      <w:pPr>
        <w:pStyle w:val="Reference0"/>
        <w:jc w:val="both"/>
        <w:rPr>
          <w:sz w:val="24"/>
          <w:szCs w:val="24"/>
        </w:rPr>
      </w:pPr>
      <w:r w:rsidRPr="001E5D42">
        <w:rPr>
          <w:sz w:val="24"/>
          <w:szCs w:val="24"/>
        </w:rPr>
        <w:t>National Energy Program One Executive Office (2015). Energy Technology and Environment: Report of National Energy Program One. Department of International Cooperation and Science Education, Ministry of Science and Technology, Taiwan.</w:t>
      </w:r>
    </w:p>
    <w:p w:rsidR="001E5D42" w:rsidRPr="001E5D42" w:rsidRDefault="001E5D42" w:rsidP="001E5D42">
      <w:pPr>
        <w:pStyle w:val="Reference0"/>
        <w:jc w:val="both"/>
        <w:rPr>
          <w:sz w:val="24"/>
          <w:szCs w:val="24"/>
        </w:rPr>
      </w:pPr>
      <w:r w:rsidRPr="001E5D42">
        <w:rPr>
          <w:sz w:val="24"/>
          <w:szCs w:val="24"/>
        </w:rPr>
        <w:t>National Institute of Educational Resources and Research. (2003). Education yearbook of the republic of china. Taipei City: National Institute of Educational Resources and Research.</w:t>
      </w:r>
    </w:p>
    <w:p w:rsidR="001E5D42" w:rsidRPr="001E5D42" w:rsidRDefault="001E5D42" w:rsidP="001E5D42">
      <w:pPr>
        <w:pStyle w:val="Reference0"/>
        <w:jc w:val="both"/>
        <w:rPr>
          <w:sz w:val="24"/>
          <w:szCs w:val="24"/>
        </w:rPr>
      </w:pPr>
      <w:r w:rsidRPr="001E5D42">
        <w:rPr>
          <w:sz w:val="24"/>
          <w:szCs w:val="24"/>
        </w:rPr>
        <w:t>National Research Council (NRC). (1996). National science education standards. Washington, DC: National Academy Press.</w:t>
      </w:r>
    </w:p>
    <w:p w:rsidR="001E5D42" w:rsidRPr="001E5D42" w:rsidRDefault="001E5D42" w:rsidP="001E5D42">
      <w:pPr>
        <w:pStyle w:val="Reference0"/>
        <w:jc w:val="both"/>
        <w:rPr>
          <w:sz w:val="24"/>
          <w:szCs w:val="24"/>
        </w:rPr>
      </w:pPr>
      <w:r w:rsidRPr="001E5D42">
        <w:rPr>
          <w:sz w:val="24"/>
          <w:szCs w:val="24"/>
        </w:rPr>
        <w:t xml:space="preserve">Quintana, C., Reiser, B. J., Davis, E. A., </w:t>
      </w:r>
      <w:proofErr w:type="spellStart"/>
      <w:r w:rsidRPr="001E5D42">
        <w:rPr>
          <w:sz w:val="24"/>
          <w:szCs w:val="24"/>
        </w:rPr>
        <w:t>Krajcik</w:t>
      </w:r>
      <w:proofErr w:type="spellEnd"/>
      <w:r w:rsidRPr="001E5D42">
        <w:rPr>
          <w:sz w:val="24"/>
          <w:szCs w:val="24"/>
        </w:rPr>
        <w:t xml:space="preserve">, J., </w:t>
      </w:r>
      <w:proofErr w:type="spellStart"/>
      <w:r w:rsidRPr="001E5D42">
        <w:rPr>
          <w:sz w:val="24"/>
          <w:szCs w:val="24"/>
        </w:rPr>
        <w:t>Fretz</w:t>
      </w:r>
      <w:proofErr w:type="spellEnd"/>
      <w:r w:rsidRPr="001E5D42">
        <w:rPr>
          <w:sz w:val="24"/>
          <w:szCs w:val="24"/>
        </w:rPr>
        <w:t>, E., Duncan, R. G. (2004). A scaffolding design framework for software to support science inquiry. Journal of the Learning Sciences, 13, 337–386.</w:t>
      </w:r>
    </w:p>
    <w:p w:rsidR="001E5D42" w:rsidRPr="001E5D42" w:rsidRDefault="001E5D42" w:rsidP="001E5D42">
      <w:pPr>
        <w:pStyle w:val="Reference0"/>
        <w:jc w:val="both"/>
        <w:rPr>
          <w:sz w:val="24"/>
          <w:szCs w:val="24"/>
        </w:rPr>
      </w:pPr>
      <w:r w:rsidRPr="001E5D42">
        <w:rPr>
          <w:sz w:val="24"/>
          <w:szCs w:val="24"/>
        </w:rPr>
        <w:t>Reiser, B. J. (2004). Scaffolding complex learning: The mechanisms of structuring and problematizing student work. Journal of the Learning Sciences, 13, 273–304.</w:t>
      </w:r>
    </w:p>
    <w:p w:rsidR="001E5D42" w:rsidRPr="001E5D42" w:rsidRDefault="001E5D42" w:rsidP="001E5D42">
      <w:pPr>
        <w:pStyle w:val="Reference0"/>
        <w:jc w:val="both"/>
        <w:rPr>
          <w:sz w:val="24"/>
          <w:szCs w:val="24"/>
        </w:rPr>
      </w:pPr>
      <w:r w:rsidRPr="001E5D42">
        <w:rPr>
          <w:sz w:val="24"/>
          <w:szCs w:val="24"/>
        </w:rPr>
        <w:t xml:space="preserve">Reiser, B. J., Tabak, I., Sandoval, W. A., Smith, B. K., </w:t>
      </w:r>
      <w:proofErr w:type="spellStart"/>
      <w:r w:rsidRPr="001E5D42">
        <w:rPr>
          <w:sz w:val="24"/>
          <w:szCs w:val="24"/>
        </w:rPr>
        <w:t>Steinmuller</w:t>
      </w:r>
      <w:proofErr w:type="spellEnd"/>
      <w:r w:rsidRPr="001E5D42">
        <w:rPr>
          <w:sz w:val="24"/>
          <w:szCs w:val="24"/>
        </w:rPr>
        <w:t xml:space="preserve">, F. &amp; Leone, A. J. (2001). </w:t>
      </w:r>
      <w:proofErr w:type="spellStart"/>
      <w:r w:rsidRPr="001E5D42">
        <w:rPr>
          <w:sz w:val="24"/>
          <w:szCs w:val="24"/>
        </w:rPr>
        <w:t>BGuILE</w:t>
      </w:r>
      <w:proofErr w:type="spellEnd"/>
      <w:r w:rsidRPr="001E5D42">
        <w:rPr>
          <w:sz w:val="24"/>
          <w:szCs w:val="24"/>
        </w:rPr>
        <w:t xml:space="preserve">: Strategic and conceptual scaffolds for scientific inquiry in biology classrooms. In S. M. </w:t>
      </w:r>
      <w:proofErr w:type="spellStart"/>
      <w:r w:rsidRPr="001E5D42">
        <w:rPr>
          <w:sz w:val="24"/>
          <w:szCs w:val="24"/>
        </w:rPr>
        <w:lastRenderedPageBreak/>
        <w:t>Carver&amp;</w:t>
      </w:r>
      <w:proofErr w:type="gramStart"/>
      <w:r w:rsidRPr="001E5D42">
        <w:rPr>
          <w:sz w:val="24"/>
          <w:szCs w:val="24"/>
        </w:rPr>
        <w:t>D.Klahr</w:t>
      </w:r>
      <w:proofErr w:type="spellEnd"/>
      <w:proofErr w:type="gramEnd"/>
      <w:r w:rsidRPr="001E5D42">
        <w:rPr>
          <w:sz w:val="24"/>
          <w:szCs w:val="24"/>
        </w:rPr>
        <w:t xml:space="preserve"> (Eds.), Cognition and instruction: Twenty-five years of progress (pp. 263–305). Mahwah, NJ: Erlbaum.</w:t>
      </w:r>
    </w:p>
    <w:p w:rsidR="001E5D42" w:rsidRPr="001E5D42" w:rsidRDefault="001E5D42" w:rsidP="001E5D42">
      <w:pPr>
        <w:pStyle w:val="Reference0"/>
        <w:jc w:val="both"/>
        <w:rPr>
          <w:sz w:val="24"/>
          <w:szCs w:val="24"/>
        </w:rPr>
      </w:pPr>
      <w:r w:rsidRPr="001E5D42">
        <w:rPr>
          <w:sz w:val="24"/>
          <w:szCs w:val="24"/>
        </w:rPr>
        <w:t>Russell, T. (1994). The enquiring visitor: Usable learning theory for museum contexts.  Journal of Education in Museums, 15. Retrieved from http://www.gem.org.uk/ resources/russell.html/</w:t>
      </w:r>
    </w:p>
    <w:p w:rsidR="001E5D42" w:rsidRPr="001E5D42" w:rsidRDefault="001E5D42" w:rsidP="001E5D42">
      <w:pPr>
        <w:pStyle w:val="Reference0"/>
        <w:jc w:val="both"/>
        <w:rPr>
          <w:sz w:val="24"/>
          <w:szCs w:val="24"/>
        </w:rPr>
      </w:pPr>
      <w:r w:rsidRPr="001E5D42">
        <w:rPr>
          <w:sz w:val="24"/>
          <w:szCs w:val="24"/>
        </w:rPr>
        <w:t>Scott, M. (2010). The Pleasures and Pitfalls of Teaching Human Evolution in the Museum. Evo Edu Outreach:3,403–409.</w:t>
      </w:r>
    </w:p>
    <w:p w:rsidR="001E5D42" w:rsidRPr="001E5D42" w:rsidRDefault="001E5D42" w:rsidP="001E5D42">
      <w:pPr>
        <w:pStyle w:val="Reference0"/>
        <w:jc w:val="both"/>
        <w:rPr>
          <w:sz w:val="24"/>
          <w:szCs w:val="24"/>
        </w:rPr>
      </w:pPr>
      <w:r w:rsidRPr="001E5D42">
        <w:rPr>
          <w:sz w:val="24"/>
          <w:szCs w:val="24"/>
        </w:rPr>
        <w:t>Shen, Y. (2011) Study on Misconceptions of Global Warming for Primary School Students and Teachers. Master thesis, Graduate Institute of Environmental Education, National Taiwan Normal University.</w:t>
      </w:r>
    </w:p>
    <w:p w:rsidR="001E5D42" w:rsidRPr="001E5D42" w:rsidRDefault="001E5D42" w:rsidP="001E5D42">
      <w:pPr>
        <w:pStyle w:val="Reference0"/>
        <w:jc w:val="both"/>
        <w:rPr>
          <w:sz w:val="24"/>
          <w:szCs w:val="24"/>
        </w:rPr>
      </w:pPr>
      <w:proofErr w:type="spellStart"/>
      <w:r w:rsidRPr="001E5D42">
        <w:rPr>
          <w:sz w:val="24"/>
          <w:szCs w:val="24"/>
        </w:rPr>
        <w:t>Stocklmayer</w:t>
      </w:r>
      <w:proofErr w:type="spellEnd"/>
      <w:r w:rsidRPr="001E5D42">
        <w:rPr>
          <w:sz w:val="24"/>
          <w:szCs w:val="24"/>
        </w:rPr>
        <w:t>, S., &amp; Gilbert, J. K. (2002). New experiences and old knowledge: towards a model for the personal awareness of science and technology. International Journal of Science Education, 24(8), 835-858.</w:t>
      </w:r>
    </w:p>
    <w:p w:rsidR="001E5D42" w:rsidRPr="001E5D42" w:rsidRDefault="001E5D42" w:rsidP="001E5D42">
      <w:pPr>
        <w:pStyle w:val="Reference0"/>
        <w:jc w:val="both"/>
        <w:rPr>
          <w:sz w:val="24"/>
          <w:szCs w:val="24"/>
        </w:rPr>
      </w:pPr>
      <w:r w:rsidRPr="001E5D42">
        <w:rPr>
          <w:sz w:val="24"/>
          <w:szCs w:val="24"/>
        </w:rPr>
        <w:t xml:space="preserve">Toth, E. E., </w:t>
      </w:r>
      <w:proofErr w:type="spellStart"/>
      <w:r w:rsidRPr="001E5D42">
        <w:rPr>
          <w:sz w:val="24"/>
          <w:szCs w:val="24"/>
        </w:rPr>
        <w:t>Suthers</w:t>
      </w:r>
      <w:proofErr w:type="spellEnd"/>
      <w:r w:rsidRPr="001E5D42">
        <w:rPr>
          <w:sz w:val="24"/>
          <w:szCs w:val="24"/>
        </w:rPr>
        <w:t xml:space="preserve">, D. D., &amp; </w:t>
      </w:r>
      <w:proofErr w:type="spellStart"/>
      <w:r w:rsidRPr="001E5D42">
        <w:rPr>
          <w:sz w:val="24"/>
          <w:szCs w:val="24"/>
        </w:rPr>
        <w:t>Lesgold</w:t>
      </w:r>
      <w:proofErr w:type="spellEnd"/>
      <w:r w:rsidRPr="001E5D42">
        <w:rPr>
          <w:sz w:val="24"/>
          <w:szCs w:val="24"/>
        </w:rPr>
        <w:t>, A. M. (2002). “Mapping to know”: The effects of representational guidance and reflective assessment on scientific inquiry. Science Education, 86, 244–263.</w:t>
      </w:r>
    </w:p>
    <w:p w:rsidR="001E5D42" w:rsidRPr="001E5D42" w:rsidRDefault="001E5D42" w:rsidP="001E5D42">
      <w:pPr>
        <w:pStyle w:val="Reference0"/>
        <w:jc w:val="both"/>
        <w:rPr>
          <w:sz w:val="24"/>
          <w:szCs w:val="24"/>
        </w:rPr>
      </w:pPr>
      <w:r w:rsidRPr="001E5D42">
        <w:rPr>
          <w:sz w:val="24"/>
          <w:szCs w:val="24"/>
        </w:rPr>
        <w:t>Tran, L. U. (2007). Teaching science in museums: The pedagogy and goals of museum educators. Science Education, 91, 278-297.</w:t>
      </w:r>
    </w:p>
    <w:p w:rsidR="001E5D42" w:rsidRPr="001E5D42" w:rsidRDefault="001E5D42" w:rsidP="001E5D42">
      <w:pPr>
        <w:pStyle w:val="Reference0"/>
        <w:jc w:val="both"/>
        <w:rPr>
          <w:sz w:val="24"/>
          <w:szCs w:val="24"/>
        </w:rPr>
      </w:pPr>
      <w:r w:rsidRPr="001E5D42">
        <w:rPr>
          <w:sz w:val="24"/>
          <w:szCs w:val="24"/>
        </w:rPr>
        <w:t>White, B.Y., &amp; Frederiksen, J.R. (1998). Inquiry, modeling, and metacognition: Making science accessible to all students. Cognition and Instruction, 16, 3–118.</w:t>
      </w:r>
    </w:p>
    <w:p w:rsidR="001E5D42" w:rsidRPr="001E5D42" w:rsidRDefault="001E5D42" w:rsidP="001E5D42">
      <w:pPr>
        <w:pStyle w:val="Reference0"/>
        <w:jc w:val="both"/>
        <w:rPr>
          <w:sz w:val="24"/>
          <w:szCs w:val="24"/>
        </w:rPr>
      </w:pPr>
      <w:r w:rsidRPr="001E5D42">
        <w:rPr>
          <w:sz w:val="24"/>
          <w:szCs w:val="24"/>
        </w:rPr>
        <w:t xml:space="preserve">Yeh, J. H. (2017). Museum Science Teaching: Museum Educators’ Personal Episteme and The Learning Experiences They Created for Visitors. In </w:t>
      </w:r>
      <w:proofErr w:type="spellStart"/>
      <w:r w:rsidRPr="001E5D42">
        <w:rPr>
          <w:sz w:val="24"/>
          <w:szCs w:val="24"/>
        </w:rPr>
        <w:t>Partrisha</w:t>
      </w:r>
      <w:proofErr w:type="spellEnd"/>
      <w:r w:rsidRPr="001E5D42">
        <w:rPr>
          <w:sz w:val="24"/>
          <w:szCs w:val="24"/>
        </w:rPr>
        <w:t>, P. eds.: Preparing Informal Science Educators. Springer Netherlands.</w:t>
      </w:r>
    </w:p>
    <w:p w:rsidR="001E5D42" w:rsidRPr="001E5D42" w:rsidRDefault="001E5D42" w:rsidP="001E5D42">
      <w:pPr>
        <w:pStyle w:val="Reference0"/>
        <w:jc w:val="both"/>
        <w:rPr>
          <w:sz w:val="24"/>
          <w:szCs w:val="24"/>
        </w:rPr>
      </w:pPr>
      <w:r w:rsidRPr="001E5D42">
        <w:rPr>
          <w:sz w:val="24"/>
          <w:szCs w:val="24"/>
        </w:rPr>
        <w:t xml:space="preserve">Yeh, J. H. &amp; Ku, C. C. (2011). The Impact of Counting Carbon-footprint During the Energy Education Teacher Seminar: Cognition, Attitudes and Motivation toward Energy Conservation Actions. Paper presented in 2011 International Forum for a Low Carbon Vision, Taipei. </w:t>
      </w:r>
    </w:p>
    <w:p w:rsidR="001E5D42" w:rsidRPr="001E5D42" w:rsidRDefault="001E5D42" w:rsidP="001E5D42">
      <w:pPr>
        <w:pStyle w:val="Reference0"/>
        <w:jc w:val="both"/>
        <w:rPr>
          <w:sz w:val="24"/>
          <w:szCs w:val="24"/>
        </w:rPr>
      </w:pPr>
      <w:r w:rsidRPr="001E5D42">
        <w:rPr>
          <w:sz w:val="24"/>
          <w:szCs w:val="24"/>
        </w:rPr>
        <w:t>Yeh, S., Huang, J. &amp; Yu, H. (2017). Analysis of Energy Literacy and Misconceptions of Junior High Students in Taiwan. Sustainability, 9, 423; doi:10.3390/su9030423</w:t>
      </w:r>
    </w:p>
    <w:p w:rsidR="002C2BE7" w:rsidRPr="006D0E3E" w:rsidRDefault="001E5D42" w:rsidP="001E5D42">
      <w:pPr>
        <w:pStyle w:val="Reference0"/>
        <w:jc w:val="both"/>
        <w:rPr>
          <w:sz w:val="24"/>
          <w:szCs w:val="24"/>
        </w:rPr>
      </w:pPr>
      <w:r w:rsidRPr="001E5D42">
        <w:rPr>
          <w:sz w:val="24"/>
          <w:szCs w:val="24"/>
        </w:rPr>
        <w:t xml:space="preserve">Yoon, S. A., </w:t>
      </w:r>
      <w:proofErr w:type="spellStart"/>
      <w:r w:rsidRPr="001E5D42">
        <w:rPr>
          <w:sz w:val="24"/>
          <w:szCs w:val="24"/>
        </w:rPr>
        <w:t>Elinich</w:t>
      </w:r>
      <w:proofErr w:type="spellEnd"/>
      <w:r w:rsidRPr="001E5D42">
        <w:rPr>
          <w:sz w:val="24"/>
          <w:szCs w:val="24"/>
        </w:rPr>
        <w:t xml:space="preserve">, K. Wang, J. Van </w:t>
      </w:r>
      <w:proofErr w:type="spellStart"/>
      <w:r w:rsidRPr="001E5D42">
        <w:rPr>
          <w:sz w:val="24"/>
          <w:szCs w:val="24"/>
        </w:rPr>
        <w:t>Schooneveld</w:t>
      </w:r>
      <w:proofErr w:type="spellEnd"/>
      <w:r w:rsidRPr="001E5D42">
        <w:rPr>
          <w:sz w:val="24"/>
          <w:szCs w:val="24"/>
        </w:rPr>
        <w:t>, J. B. &amp; Anderson, E. (2013). Scaffolding informal learning in science museums: how much is too much? Science Education, 97, 848-877.</w:t>
      </w:r>
    </w:p>
    <w:p w:rsidR="002C2BE7" w:rsidRPr="006D0E3E" w:rsidRDefault="002C2BE7"/>
    <w:sectPr w:rsidR="002C2BE7" w:rsidRPr="006D0E3E" w:rsidSect="00771A15">
      <w:headerReference w:type="default" r:id="rId9"/>
      <w:pgSz w:w="11906" w:h="16838" w:code="9"/>
      <w:pgMar w:top="1134" w:right="1134" w:bottom="1134" w:left="1134" w:header="851" w:footer="720"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049" w:rsidRDefault="00745049">
      <w:pPr>
        <w:spacing w:line="240" w:lineRule="auto"/>
      </w:pPr>
      <w:r>
        <w:separator/>
      </w:r>
    </w:p>
  </w:endnote>
  <w:endnote w:type="continuationSeparator" w:id="0">
    <w:p w:rsidR="00745049" w:rsidRDefault="00745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文泉驛微米黑">
    <w:altName w:val="Times New Roman"/>
    <w:charset w:val="01"/>
    <w:family w:val="auto"/>
    <w:pitch w:val="variable"/>
  </w:font>
  <w:font w:name="Droid Sans Fallback">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049" w:rsidRDefault="00745049">
      <w:pPr>
        <w:spacing w:line="240" w:lineRule="auto"/>
      </w:pPr>
      <w:r>
        <w:separator/>
      </w:r>
    </w:p>
  </w:footnote>
  <w:footnote w:type="continuationSeparator" w:id="0">
    <w:p w:rsidR="00745049" w:rsidRDefault="007450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E7" w:rsidRPr="00474DAE" w:rsidRDefault="00474DAE" w:rsidP="007F16C2">
    <w:pPr>
      <w:pStyle w:val="ab"/>
      <w:jc w:val="right"/>
      <w:rPr>
        <w:rFonts w:ascii="Times New Roman" w:hAnsi="Times New Roman" w:cs="Times New Roman"/>
      </w:rPr>
    </w:pPr>
    <w:r w:rsidRPr="00474DAE">
      <w:rPr>
        <w:rFonts w:ascii="Times New Roman" w:hAnsi="Times New Roman" w:cs="Times New Roman"/>
        <w:sz w:val="24"/>
      </w:rPr>
      <w:t>2018 EASE</w:t>
    </w:r>
    <w:r w:rsidR="00AD318B" w:rsidRPr="00474DAE">
      <w:rPr>
        <w:rFonts w:ascii="Times New Roman" w:eastAsia="標楷體"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9C0"/>
    <w:multiLevelType w:val="hybridMultilevel"/>
    <w:tmpl w:val="18D403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90E7F"/>
    <w:multiLevelType w:val="hybridMultilevel"/>
    <w:tmpl w:val="9D148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9D72AC"/>
    <w:multiLevelType w:val="hybridMultilevel"/>
    <w:tmpl w:val="0B5E8EC4"/>
    <w:lvl w:ilvl="0" w:tplc="0409000F">
      <w:start w:val="1"/>
      <w:numFmt w:val="decimal"/>
      <w:lvlText w:val="%1."/>
      <w:lvlJc w:val="left"/>
      <w:pPr>
        <w:ind w:left="725" w:hanging="480"/>
      </w:p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3" w15:restartNumberingAfterBreak="0">
    <w:nsid w:val="3FFF5C65"/>
    <w:multiLevelType w:val="hybridMultilevel"/>
    <w:tmpl w:val="AE349C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263014"/>
    <w:multiLevelType w:val="hybridMultilevel"/>
    <w:tmpl w:val="6E088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70B3BB0"/>
    <w:multiLevelType w:val="hybridMultilevel"/>
    <w:tmpl w:val="FAB82A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80"/>
  <w:defaultTableStyle w:val="a"/>
  <w:drawingGridHorizontalSpacing w:val="0"/>
  <w:drawingGridVerticalSpacing w:val="166"/>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0C27"/>
    <w:rsid w:val="00000C27"/>
    <w:rsid w:val="00031F74"/>
    <w:rsid w:val="000729F6"/>
    <w:rsid w:val="00092A14"/>
    <w:rsid w:val="000C6A8E"/>
    <w:rsid w:val="00117DF4"/>
    <w:rsid w:val="0016192F"/>
    <w:rsid w:val="00167AEE"/>
    <w:rsid w:val="001778EC"/>
    <w:rsid w:val="00177F78"/>
    <w:rsid w:val="0018000D"/>
    <w:rsid w:val="001E5D42"/>
    <w:rsid w:val="001F3785"/>
    <w:rsid w:val="0020020D"/>
    <w:rsid w:val="00202368"/>
    <w:rsid w:val="00256337"/>
    <w:rsid w:val="00263582"/>
    <w:rsid w:val="002B0FBA"/>
    <w:rsid w:val="002C2BE7"/>
    <w:rsid w:val="002C63DF"/>
    <w:rsid w:val="00315A00"/>
    <w:rsid w:val="00352BA7"/>
    <w:rsid w:val="0038107B"/>
    <w:rsid w:val="00387485"/>
    <w:rsid w:val="00392935"/>
    <w:rsid w:val="003A2AB2"/>
    <w:rsid w:val="003C75CE"/>
    <w:rsid w:val="00404334"/>
    <w:rsid w:val="004313AF"/>
    <w:rsid w:val="00474DAE"/>
    <w:rsid w:val="00485927"/>
    <w:rsid w:val="004C5E8A"/>
    <w:rsid w:val="004D32E9"/>
    <w:rsid w:val="004F3F97"/>
    <w:rsid w:val="00516882"/>
    <w:rsid w:val="005431D2"/>
    <w:rsid w:val="00624C06"/>
    <w:rsid w:val="00650F20"/>
    <w:rsid w:val="006D0E3E"/>
    <w:rsid w:val="00745049"/>
    <w:rsid w:val="00767E87"/>
    <w:rsid w:val="00771A15"/>
    <w:rsid w:val="007F16C2"/>
    <w:rsid w:val="00871788"/>
    <w:rsid w:val="008B228C"/>
    <w:rsid w:val="008F4D10"/>
    <w:rsid w:val="00921244"/>
    <w:rsid w:val="009F6C42"/>
    <w:rsid w:val="00A108C8"/>
    <w:rsid w:val="00A21CA4"/>
    <w:rsid w:val="00A455C9"/>
    <w:rsid w:val="00A54837"/>
    <w:rsid w:val="00A74223"/>
    <w:rsid w:val="00AB39AE"/>
    <w:rsid w:val="00AD318B"/>
    <w:rsid w:val="00B34927"/>
    <w:rsid w:val="00B93150"/>
    <w:rsid w:val="00BB412D"/>
    <w:rsid w:val="00BC6BCD"/>
    <w:rsid w:val="00C77186"/>
    <w:rsid w:val="00C86A9B"/>
    <w:rsid w:val="00D20DC6"/>
    <w:rsid w:val="00D43CA0"/>
    <w:rsid w:val="00D83CF9"/>
    <w:rsid w:val="00E0075A"/>
    <w:rsid w:val="00E0760B"/>
    <w:rsid w:val="00E13E40"/>
    <w:rsid w:val="00E459A3"/>
    <w:rsid w:val="00E87FF6"/>
    <w:rsid w:val="00EA4C72"/>
    <w:rsid w:val="00ED6E62"/>
    <w:rsid w:val="00F16F42"/>
    <w:rsid w:val="00F23C79"/>
    <w:rsid w:val="00F44B0A"/>
    <w:rsid w:val="00F74C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02ED0C"/>
  <w15:chartTrackingRefBased/>
  <w15:docId w15:val="{2A97C660-6329-4290-9B6E-D6DF6F88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right" w:pos="8640"/>
      </w:tabs>
      <w:suppressAutoHyphens/>
      <w:spacing w:line="480" w:lineRule="auto"/>
    </w:pPr>
    <w:rPr>
      <w:rFonts w:ascii="Garamond" w:hAnsi="Garamond" w:cs="Garamond"/>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nText">
    <w:name w:val="Main Text 字元"/>
    <w:rPr>
      <w:rFonts w:eastAsia="Times New Roman"/>
      <w:lang w:val="en-US" w:bidi="ar-SA"/>
    </w:rPr>
  </w:style>
  <w:style w:type="character" w:customStyle="1" w:styleId="Reference">
    <w:name w:val="Reference 字元"/>
    <w:rPr>
      <w:rFonts w:eastAsia="Times New Roman"/>
      <w:color w:val="000000"/>
      <w:lang w:val="en-US" w:bidi="ar-SA"/>
    </w:rPr>
  </w:style>
  <w:style w:type="character" w:customStyle="1" w:styleId="HeadingSecondLevel">
    <w:name w:val="Heading (Second Level) 字元"/>
    <w:rPr>
      <w:rFonts w:eastAsia="Times New Roman"/>
      <w:b/>
      <w:i/>
      <w:lang w:val="en-US" w:eastAsia="zh-TW" w:bidi="ar-SA"/>
    </w:rPr>
  </w:style>
  <w:style w:type="character" w:customStyle="1" w:styleId="AbstractTitle">
    <w:name w:val="Abstract Title 字元"/>
    <w:rPr>
      <w:rFonts w:eastAsia="Times New Roman"/>
      <w:b/>
      <w:kern w:val="1"/>
      <w:lang w:val="en-US" w:eastAsia="zh-TW" w:bidi="ar-SA"/>
    </w:rPr>
  </w:style>
  <w:style w:type="character" w:customStyle="1" w:styleId="AbstractText">
    <w:name w:val="Abstract Text 字元"/>
    <w:rPr>
      <w:rFonts w:eastAsia="Times New Roman"/>
      <w:i/>
      <w:kern w:val="1"/>
      <w:lang w:val="en-US" w:eastAsia="zh-TW" w:bidi="ar-SA"/>
    </w:rPr>
  </w:style>
  <w:style w:type="character" w:customStyle="1" w:styleId="Keywords">
    <w:name w:val="Keywords 字元"/>
    <w:rPr>
      <w:kern w:val="1"/>
      <w:lang w:val="en-US" w:eastAsia="zh-TW" w:bidi="ar-SA"/>
    </w:rPr>
  </w:style>
  <w:style w:type="character" w:customStyle="1" w:styleId="Keywords0">
    <w:name w:val="Keywords + 粗體 字元"/>
    <w:rPr>
      <w:b/>
      <w:bCs/>
      <w:kern w:val="1"/>
      <w:lang w:val="en-US" w:eastAsia="zh-TW" w:bidi="ar-SA"/>
    </w:rPr>
  </w:style>
  <w:style w:type="character" w:customStyle="1" w:styleId="HeadingThirdLevel">
    <w:name w:val="Heading (Third Level) 字元"/>
    <w:rPr>
      <w:rFonts w:eastAsia="Times New Roman"/>
      <w:b/>
      <w:i/>
      <w:lang w:val="en-US" w:bidi="ar-SA"/>
    </w:rPr>
  </w:style>
  <w:style w:type="character" w:customStyle="1" w:styleId="FootnoteNumber">
    <w:name w:val="Footnote Number 字元"/>
    <w:rPr>
      <w:rFonts w:eastAsia="Times New Roman"/>
      <w:vertAlign w:val="superscript"/>
      <w:lang w:val="en-US" w:eastAsia="zh-TW" w:bidi="ar-SA"/>
    </w:rPr>
  </w:style>
  <w:style w:type="character" w:customStyle="1" w:styleId="a3">
    <w:name w:val="頁首 字元"/>
    <w:rPr>
      <w:rFonts w:ascii="Garamond" w:hAnsi="Garamond" w:cs="Garamond"/>
    </w:rPr>
  </w:style>
  <w:style w:type="character" w:customStyle="1" w:styleId="a4">
    <w:name w:val="頁尾 字元"/>
    <w:rPr>
      <w:rFonts w:ascii="Garamond" w:hAnsi="Garamond" w:cs="Garamond"/>
    </w:rPr>
  </w:style>
  <w:style w:type="character" w:customStyle="1" w:styleId="a5">
    <w:name w:val="註解方塊文字 字元"/>
    <w:rPr>
      <w:rFonts w:ascii="Cambria" w:eastAsia="新細明體" w:hAnsi="Cambria" w:cs="Times New Roman"/>
      <w:sz w:val="18"/>
      <w:szCs w:val="18"/>
    </w:rPr>
  </w:style>
  <w:style w:type="paragraph" w:styleId="a6">
    <w:name w:val="Title"/>
    <w:basedOn w:val="a"/>
    <w:next w:val="a7"/>
    <w:qFormat/>
    <w:pPr>
      <w:keepNext/>
      <w:spacing w:before="240" w:after="120"/>
    </w:pPr>
    <w:rPr>
      <w:rFonts w:ascii="Liberation Sans" w:eastAsia="文泉驛微米黑" w:hAnsi="Liberation Sans" w:cs="Droid Sans Fallback"/>
      <w:sz w:val="28"/>
      <w:szCs w:val="28"/>
    </w:rPr>
  </w:style>
  <w:style w:type="paragraph" w:styleId="a7">
    <w:name w:val="Body Text"/>
    <w:basedOn w:val="a"/>
    <w:pPr>
      <w:spacing w:after="140" w:line="288" w:lineRule="auto"/>
    </w:pPr>
  </w:style>
  <w:style w:type="paragraph" w:styleId="a8">
    <w:name w:val="List"/>
    <w:basedOn w:val="a7"/>
    <w:rPr>
      <w:rFonts w:cs="Droid Sans Fallback"/>
    </w:rPr>
  </w:style>
  <w:style w:type="paragraph" w:styleId="a9">
    <w:name w:val="caption"/>
    <w:basedOn w:val="a"/>
    <w:qFormat/>
    <w:pPr>
      <w:suppressLineNumbers/>
      <w:spacing w:before="120" w:after="120"/>
    </w:pPr>
    <w:rPr>
      <w:rFonts w:cs="Droid Sans Fallback"/>
      <w:i/>
      <w:iCs/>
    </w:rPr>
  </w:style>
  <w:style w:type="paragraph" w:customStyle="1" w:styleId="aa">
    <w:name w:val="目錄"/>
    <w:basedOn w:val="a"/>
    <w:pPr>
      <w:suppressLineNumbers/>
    </w:pPr>
    <w:rPr>
      <w:rFonts w:cs="Droid Sans Fallback"/>
    </w:rPr>
  </w:style>
  <w:style w:type="paragraph" w:customStyle="1" w:styleId="MainText0">
    <w:name w:val="Main Text"/>
    <w:pPr>
      <w:tabs>
        <w:tab w:val="left" w:pos="720"/>
      </w:tabs>
      <w:suppressAutoHyphens/>
      <w:ind w:firstLine="360"/>
      <w:jc w:val="both"/>
    </w:pPr>
    <w:rPr>
      <w:rFonts w:eastAsia="Times New Roman"/>
    </w:rPr>
  </w:style>
  <w:style w:type="paragraph" w:customStyle="1" w:styleId="Title1">
    <w:name w:val="Title1"/>
    <w:next w:val="MainText0"/>
    <w:pPr>
      <w:suppressAutoHyphens/>
      <w:spacing w:line="480" w:lineRule="auto"/>
      <w:jc w:val="center"/>
    </w:pPr>
    <w:rPr>
      <w:rFonts w:eastAsia="Times New Roman"/>
      <w:b/>
      <w:bCs/>
      <w:kern w:val="1"/>
      <w:sz w:val="24"/>
      <w:szCs w:val="24"/>
    </w:rPr>
  </w:style>
  <w:style w:type="paragraph" w:customStyle="1" w:styleId="HeadingFirstLevel">
    <w:name w:val="Heading (First Level)"/>
    <w:next w:val="MainText0"/>
    <w:pPr>
      <w:suppressAutoHyphens/>
      <w:spacing w:line="480" w:lineRule="auto"/>
    </w:pPr>
    <w:rPr>
      <w:rFonts w:eastAsia="Times New Roman"/>
      <w:b/>
      <w:sz w:val="24"/>
      <w:szCs w:val="24"/>
    </w:rPr>
  </w:style>
  <w:style w:type="paragraph" w:customStyle="1" w:styleId="AuthorAffiliation">
    <w:name w:val="Author Affiliation"/>
    <w:next w:val="AuthorEmail"/>
    <w:pPr>
      <w:suppressAutoHyphens/>
      <w:jc w:val="center"/>
    </w:pPr>
    <w:rPr>
      <w:rFonts w:eastAsia="Times New Roman"/>
    </w:rPr>
  </w:style>
  <w:style w:type="paragraph" w:customStyle="1" w:styleId="AuthorName">
    <w:name w:val="Author Name"/>
    <w:basedOn w:val="a"/>
    <w:next w:val="AuthorAffiliation"/>
    <w:pPr>
      <w:spacing w:line="240" w:lineRule="auto"/>
      <w:jc w:val="center"/>
    </w:pPr>
    <w:rPr>
      <w:rFonts w:ascii="Times New Roman" w:eastAsia="Times New Roman" w:hAnsi="Times New Roman" w:cs="Times New Roman"/>
      <w:sz w:val="20"/>
    </w:rPr>
  </w:style>
  <w:style w:type="paragraph" w:customStyle="1" w:styleId="Reference0">
    <w:name w:val="Reference"/>
    <w:pPr>
      <w:suppressAutoHyphens/>
      <w:ind w:left="360" w:hanging="360"/>
    </w:pPr>
    <w:rPr>
      <w:rFonts w:eastAsia="Times New Roman"/>
      <w:color w:val="000000"/>
    </w:rPr>
  </w:style>
  <w:style w:type="paragraph" w:customStyle="1" w:styleId="Quotation">
    <w:name w:val="Quotation"/>
    <w:next w:val="MainText0"/>
    <w:pPr>
      <w:tabs>
        <w:tab w:val="left" w:pos="720"/>
        <w:tab w:val="left" w:pos="1440"/>
      </w:tabs>
      <w:suppressAutoHyphens/>
      <w:ind w:left="360"/>
    </w:pPr>
    <w:rPr>
      <w:rFonts w:eastAsia="Times New Roman"/>
    </w:rPr>
  </w:style>
  <w:style w:type="paragraph" w:customStyle="1" w:styleId="HeadingSecondLevel0">
    <w:name w:val="Heading (Second Level)"/>
    <w:next w:val="MainText0"/>
    <w:pPr>
      <w:suppressAutoHyphens/>
      <w:spacing w:line="480" w:lineRule="auto"/>
    </w:pPr>
    <w:rPr>
      <w:rFonts w:eastAsia="Times New Roman"/>
      <w:b/>
      <w:i/>
    </w:rPr>
  </w:style>
  <w:style w:type="paragraph" w:customStyle="1" w:styleId="AbstractText0">
    <w:name w:val="Abstract Text"/>
    <w:next w:val="a"/>
    <w:pPr>
      <w:suppressAutoHyphens/>
      <w:jc w:val="both"/>
    </w:pPr>
    <w:rPr>
      <w:rFonts w:eastAsia="Times New Roman"/>
      <w:i/>
      <w:kern w:val="1"/>
    </w:rPr>
  </w:style>
  <w:style w:type="paragraph" w:customStyle="1" w:styleId="AbstractTitle0">
    <w:name w:val="Abstract Title"/>
    <w:next w:val="AbstractText0"/>
    <w:pPr>
      <w:suppressAutoHyphens/>
    </w:pPr>
    <w:rPr>
      <w:rFonts w:eastAsia="Times New Roman"/>
      <w:b/>
      <w:kern w:val="1"/>
    </w:rPr>
  </w:style>
  <w:style w:type="paragraph" w:customStyle="1" w:styleId="Keywords1">
    <w:name w:val="Keywords"/>
    <w:basedOn w:val="AbstractText0"/>
    <w:next w:val="MainText0"/>
    <w:rPr>
      <w:i w:val="0"/>
    </w:rPr>
  </w:style>
  <w:style w:type="paragraph" w:customStyle="1" w:styleId="Keywords2">
    <w:name w:val="Keywords + 粗體"/>
    <w:basedOn w:val="Keywords1"/>
    <w:next w:val="a"/>
    <w:rPr>
      <w:b/>
      <w:bCs/>
    </w:rPr>
  </w:style>
  <w:style w:type="paragraph" w:customStyle="1" w:styleId="TextAfterThirdLevelHeading">
    <w:name w:val="Text After Third Level Heading"/>
    <w:basedOn w:val="MainText0"/>
    <w:next w:val="MainText0"/>
    <w:pPr>
      <w:ind w:firstLine="0"/>
    </w:pPr>
    <w:rPr>
      <w:rFonts w:cs="新細明體"/>
    </w:rPr>
  </w:style>
  <w:style w:type="paragraph" w:customStyle="1" w:styleId="HeadingThirdLevel0">
    <w:name w:val="Heading (Third Level)"/>
    <w:next w:val="TextAfterThirdLevelHeading"/>
    <w:pPr>
      <w:suppressAutoHyphens/>
    </w:pPr>
    <w:rPr>
      <w:rFonts w:eastAsia="Times New Roman"/>
      <w:b/>
      <w:i/>
    </w:rPr>
  </w:style>
  <w:style w:type="paragraph" w:customStyle="1" w:styleId="FootnoteNumber0">
    <w:name w:val="Footnote Number"/>
    <w:basedOn w:val="MainText0"/>
    <w:next w:val="MainText0"/>
    <w:rPr>
      <w:vertAlign w:val="superscript"/>
    </w:rPr>
  </w:style>
  <w:style w:type="paragraph" w:customStyle="1" w:styleId="Figurecaptions">
    <w:name w:val="Figure captions"/>
    <w:basedOn w:val="MainText0"/>
    <w:next w:val="MainText0"/>
    <w:pPr>
      <w:ind w:firstLine="0"/>
      <w:jc w:val="center"/>
    </w:pPr>
  </w:style>
  <w:style w:type="paragraph" w:customStyle="1" w:styleId="AuthorEmail">
    <w:name w:val="Author Email"/>
    <w:basedOn w:val="AuthorAffiliation"/>
    <w:next w:val="MainText0"/>
  </w:style>
  <w:style w:type="paragraph" w:styleId="ab">
    <w:name w:val="header"/>
    <w:basedOn w:val="a"/>
    <w:pPr>
      <w:tabs>
        <w:tab w:val="clear" w:pos="8640"/>
        <w:tab w:val="center" w:pos="4153"/>
        <w:tab w:val="right" w:pos="8306"/>
      </w:tabs>
      <w:snapToGrid w:val="0"/>
    </w:pPr>
    <w:rPr>
      <w:sz w:val="20"/>
      <w:szCs w:val="20"/>
    </w:rPr>
  </w:style>
  <w:style w:type="paragraph" w:styleId="ac">
    <w:name w:val="footer"/>
    <w:basedOn w:val="a"/>
    <w:pPr>
      <w:tabs>
        <w:tab w:val="clear" w:pos="8640"/>
        <w:tab w:val="center" w:pos="4153"/>
        <w:tab w:val="right" w:pos="8306"/>
      </w:tabs>
      <w:snapToGrid w:val="0"/>
    </w:pPr>
    <w:rPr>
      <w:sz w:val="20"/>
      <w:szCs w:val="20"/>
    </w:rPr>
  </w:style>
  <w:style w:type="paragraph" w:styleId="ad">
    <w:name w:val="Balloon Text"/>
    <w:basedOn w:val="a"/>
    <w:pPr>
      <w:spacing w:line="240" w:lineRule="auto"/>
    </w:pPr>
    <w:rPr>
      <w:rFonts w:ascii="Cambria" w:hAnsi="Cambria" w:cs="Times New Roman"/>
      <w:sz w:val="18"/>
      <w:szCs w:val="18"/>
    </w:rPr>
  </w:style>
  <w:style w:type="table" w:styleId="ae">
    <w:name w:val="Table Grid"/>
    <w:basedOn w:val="a1"/>
    <w:uiPriority w:val="59"/>
    <w:rsid w:val="00E45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6192F"/>
    <w:pPr>
      <w:suppressAutoHyphens w:val="0"/>
      <w:spacing w:line="240" w:lineRule="auto"/>
    </w:pPr>
    <w:rPr>
      <w:rFonts w:ascii="Courier New" w:eastAsia="標楷體" w:hAnsi="Courier New" w:cs="Courier New"/>
      <w:sz w:val="20"/>
      <w:szCs w:val="20"/>
      <w:lang w:eastAsia="en-US"/>
    </w:rPr>
  </w:style>
  <w:style w:type="character" w:customStyle="1" w:styleId="HTML0">
    <w:name w:val="HTML 預設格式 字元"/>
    <w:link w:val="HTML"/>
    <w:uiPriority w:val="99"/>
    <w:rsid w:val="0016192F"/>
    <w:rPr>
      <w:rFonts w:ascii="Courier New" w:eastAsia="標楷體" w:hAnsi="Courier New" w:cs="Courier New"/>
      <w:lang w:eastAsia="en-US"/>
    </w:rPr>
  </w:style>
  <w:style w:type="character" w:styleId="af">
    <w:name w:val="annotation reference"/>
    <w:uiPriority w:val="99"/>
    <w:semiHidden/>
    <w:unhideWhenUsed/>
    <w:rsid w:val="00E0075A"/>
    <w:rPr>
      <w:sz w:val="18"/>
      <w:szCs w:val="18"/>
    </w:rPr>
  </w:style>
  <w:style w:type="paragraph" w:styleId="af0">
    <w:name w:val="annotation text"/>
    <w:basedOn w:val="a"/>
    <w:link w:val="af1"/>
    <w:uiPriority w:val="99"/>
    <w:semiHidden/>
    <w:unhideWhenUsed/>
    <w:rsid w:val="00E0075A"/>
  </w:style>
  <w:style w:type="character" w:customStyle="1" w:styleId="af1">
    <w:name w:val="註解文字 字元"/>
    <w:link w:val="af0"/>
    <w:uiPriority w:val="99"/>
    <w:semiHidden/>
    <w:rsid w:val="00E0075A"/>
    <w:rPr>
      <w:rFonts w:ascii="Garamond" w:hAnsi="Garamond" w:cs="Garamond"/>
      <w:sz w:val="24"/>
      <w:szCs w:val="24"/>
    </w:rPr>
  </w:style>
  <w:style w:type="paragraph" w:styleId="af2">
    <w:name w:val="annotation subject"/>
    <w:basedOn w:val="af0"/>
    <w:next w:val="af0"/>
    <w:link w:val="af3"/>
    <w:uiPriority w:val="99"/>
    <w:semiHidden/>
    <w:unhideWhenUsed/>
    <w:rsid w:val="00E0075A"/>
    <w:rPr>
      <w:b/>
      <w:bCs/>
    </w:rPr>
  </w:style>
  <w:style w:type="character" w:customStyle="1" w:styleId="af3">
    <w:name w:val="註解主旨 字元"/>
    <w:link w:val="af2"/>
    <w:uiPriority w:val="99"/>
    <w:semiHidden/>
    <w:rsid w:val="00E0075A"/>
    <w:rPr>
      <w:rFonts w:ascii="Garamond"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9C2B-4805-4C17-8B0E-98784AF3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2393</Words>
  <Characters>13641</Characters>
  <Application>Microsoft Office Word</Application>
  <DocSecurity>0</DocSecurity>
  <Lines>113</Lines>
  <Paragraphs>32</Paragraphs>
  <ScaleCrop>false</ScaleCrop>
  <Company>HKIEd</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NTNUBACK</dc:creator>
  <cp:keywords/>
  <cp:lastModifiedBy>蓉樺 葉</cp:lastModifiedBy>
  <cp:revision>8</cp:revision>
  <cp:lastPrinted>2015-05-15T02:29:00Z</cp:lastPrinted>
  <dcterms:created xsi:type="dcterms:W3CDTF">2018-04-20T08:25:00Z</dcterms:created>
  <dcterms:modified xsi:type="dcterms:W3CDTF">2018-06-29T09:35:00Z</dcterms:modified>
</cp:coreProperties>
</file>